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F" w:rsidRPr="00EC255F" w:rsidRDefault="00EC255F" w:rsidP="00EC255F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tbl>
      <w:tblPr>
        <w:tblW w:w="4793" w:type="pct"/>
        <w:jc w:val="center"/>
        <w:tblInd w:w="5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0"/>
        <w:gridCol w:w="640"/>
        <w:gridCol w:w="138"/>
      </w:tblGrid>
      <w:tr w:rsidR="00B50BB9" w:rsidRPr="00B50BB9" w:rsidTr="00031657">
        <w:trPr>
          <w:trHeight w:val="502"/>
          <w:jc w:val="center"/>
        </w:trPr>
        <w:tc>
          <w:tcPr>
            <w:tcW w:w="4623" w:type="pct"/>
            <w:shd w:val="clear" w:color="auto" w:fill="FFFFFF"/>
            <w:tcMar>
              <w:top w:w="0" w:type="dxa"/>
              <w:left w:w="569" w:type="dxa"/>
              <w:bottom w:w="251" w:type="dxa"/>
              <w:right w:w="0" w:type="dxa"/>
            </w:tcMar>
            <w:hideMark/>
          </w:tcPr>
          <w:p w:rsidR="00B50BB9" w:rsidRPr="00B50BB9" w:rsidRDefault="00B50BB9" w:rsidP="00EC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УРОК ТУРИСТСКОГО СЛЕТА В «АРТЕКЕ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»</w:t>
            </w:r>
            <w:r w:rsidR="00BC6756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  <w:tc>
          <w:tcPr>
            <w:tcW w:w="31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BB9" w:rsidRPr="00B50BB9" w:rsidRDefault="00B50BB9" w:rsidP="00EC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BB9" w:rsidRPr="00B50BB9" w:rsidRDefault="00B50BB9" w:rsidP="00EC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50BB9" w:rsidRPr="00B50BB9" w:rsidTr="00EC255F">
        <w:tblPrEx>
          <w:jc w:val="left"/>
        </w:tblPrEx>
        <w:trPr>
          <w:gridAfter w:val="1"/>
          <w:wAfter w:w="67" w:type="pct"/>
        </w:trPr>
        <w:tc>
          <w:tcPr>
            <w:tcW w:w="493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туристская смена в лагере «Речной» Международного детского центра «Артек» приближается к своему завершению. Ее итоги разнообразны и в каждом образе успешны по-разному. Всероссийские соревнования походов и экспедиций, проведение которых является основной причиной присутствия на смене специалистов ГБОУ «Балтийский берег»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Санкт-Петербург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проходят в привычном режиме. Но кроме соревнований на смене проводится большое количество туристских мероприятий, потому что он вошел в моду, этот туризм.</w:t>
            </w: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 в «Артеке» развивается и сверху, и снизу. Снизу – это через непосредственных исполнителей программы </w:t>
            </w:r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партнеров из 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центра детско-юношеского туризма</w:t>
            </w:r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краеведения (</w:t>
            </w:r>
            <w:proofErr w:type="gramStart"/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инструкторские группы и руководителей этих групп из разных регионов России</w:t>
            </w:r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(Севастополь, Челябинск, Санкт-Петербург и др.)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31657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их усилиям в «Артеке» становится все больше вожатых, которым понравился туризм (тот туризм, которому их научили), и они готовы им заниматься, готовы придумывать что-то в своих отрядах, придумывать не всегда хорошо, но зато искренне. «Туризм снизу» это понятно и узнаваемо. </w:t>
            </w:r>
          </w:p>
          <w:p w:rsid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вот то, что развивается сверху, профессиональному взгляду представляется странным. Таким был трехдневный «туристский слет», проведенный специалистами «Артека» </w:t>
            </w:r>
            <w:r w:rsidR="00957FA4"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FA4"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октября 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юных туристов из лагеря «Речной» и для «туристических отрядов» из всех лагерей на турбазе «Торопова дача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C6756" w:rsidRPr="00BC6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</w:t>
            </w:r>
            <w:r w:rsidR="00B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7F6C5A" w:rsidRPr="00B50BB9" w:rsidRDefault="007F6C5A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BB9" w:rsidRDefault="00B50BB9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3" name="Рисунок 3" descr="SUTur 10-10-2018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Tur 10-10-2018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4" name="Рисунок 4" descr="SUTur 10-10-2018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Tur 10-10-2018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5" name="Рисунок 5" descr="SUTur 10-10-2018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Tur 10-10-2018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5A" w:rsidRPr="00B50BB9" w:rsidRDefault="007F6C5A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 в том, что содержание слета никоим образом не окупило затрат на его проведение, виноваты не только специалисты «Артека». Предложение в программу слета, поступившее от профессионалов в области детского туризма из Федерального центра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детско-юношеского туризма и краеведения (</w:t>
            </w:r>
            <w:proofErr w:type="gramStart"/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Москва)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Севастополя не поражало ни смыслом, ни новизной. 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партнеров «Артека» в программе слета стояли соревнования на контрольном туристском маршруте</w:t>
            </w:r>
            <w:r w:rsidR="0095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(КТМ)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качестве этапов КТМ были предложены две веревочных переправы, конкурс узлов и транспортировка пострадавшего в бухте веревки. Но все это уже давно в «Артеке» имеется, и такой КТМ на слете являлся частью программы, без которой при случае можно было легко обойтись. Так в итоге и вышло.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Партнеры «Артека» не удивили «Артек». Прошли времена, когда можно было завлечь кого-то в туризм возможностью походить по веревочным переправам. Сейчас это можно сделать (просто </w:t>
            </w:r>
            <w:proofErr w:type="spellStart"/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уделаться</w:t>
            </w:r>
            <w:proofErr w:type="spellEnd"/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!) в любом веревочном парке, и там же можно поиграть в альпинизм на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скалодроме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веревочный парк (и очень хорошие!) есть на Русской поляне в «Артеке», это можно «Артеку» не предлагать, тем более, что это все – не туризм.</w:t>
            </w:r>
          </w:p>
          <w:p w:rsidR="00B50BB9" w:rsidRPr="00B50BB9" w:rsidRDefault="00B50BB9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3095" cy="1382395"/>
                  <wp:effectExtent l="19050" t="0" r="1905" b="0"/>
                  <wp:docPr id="6" name="Рисунок 6" descr="SUTur 10-10-2018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Tur 10-10-2018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382395"/>
                  <wp:effectExtent l="19050" t="0" r="1905" b="0"/>
                  <wp:docPr id="7" name="Рисунок 7" descr="SUTur 10-10-2018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Tur 10-10-2018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382395"/>
                  <wp:effectExtent l="19050" t="0" r="1905" b="0"/>
                  <wp:docPr id="8" name="Рисунок 8" descr="SUTur 10-10-2018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Tur 10-10-2018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5A" w:rsidRDefault="007F6C5A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Туризм (путешествие) – это долгий путь по величавым ландшафтам. Ландшафты в «Артеке» тоже имеются, вот только вглядеться в них у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артековцев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получается редко. Созерцание, как оздоровительная процедура предполагает неторопливость и потому требует времени. А дети «Артека» во главе с вожатыми («большими детьми») находятся в постоянном движении, постоянно куда-то несутся. Возможно, такой ритм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артековской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готовит детей к сумасшествию городских взрослых будней. Возможно, в этом смысле он социально полезен, но он – не туризм, и нахождение в ландшафтах «Артека» здесь ничего не меняет.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еще туризм – это естественнонаучное краеведение, и это история. Он не только душевен, он еще и духовен, этот туризм, и особенно духовен в Крыму. Крым является родиной пешеходных туристских походов в России. В Крыму была проложена первая маркированная тропа (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Штангеевская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построен первый туристский приют (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Чатырдагский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открыт первый горный клуб (в Ялте). Складывалось впечатление, что когда-то в «Артеке» знали об этом. Не случайно же специализированные туристские подразделения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артековцев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именовали себя «горным клубом». Вот только сейчас на футболках бывшего горного клуба появилась надпись «туристический отряд». «Артек» забывает традиции туризма вообще и свои традиции в частности. Думаем, все это приносится в жертву идолу инновации: этому фальшивому богу, в угоду которому безграмотные, но активные люди загубили уже множество жизнеутверждающих и потому ставших традиционными, начинаний.</w:t>
            </w: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наконец, туризм – это самодеятельность,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самобслуживание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самоорганизация и самодисциплина. Именно в детском походном самообслуживании скрыт социальный (воспитательный) смысл детского туризма. Но воспитывает туризм через демонстрацию причинно-следственных связей реальности. Какой толк в разведении костра, если на нем потом не готовится пища, не сушатся вещи, не обогреваются возле него и не дежурят в ночи путешественники? Какой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тимбилдинг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веревочном парке, если по веревкам каждый двигается сам по себе? Что образуют упражнения на командное взаимодействие (всевозможные коллективные доски-лыжи и прочее), если команда нужна не «по жизни», а ради выполнения самого упражнения?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Тимбилдинг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тимбилдинга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превращается в ат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ракцион. </w:t>
            </w:r>
          </w:p>
          <w:p w:rsid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дело «самонаведение» туристской группой переправы через бурную реку, взаимная страховка при неизбежном движении по скале. Короче говоря: «Парня в горы тяни – рискни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Т</w:t>
            </w:r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поймешь, кто такой!» (В. Высоцкий). Все это объяснить и понять можно только на туристском маршруте (пусть даже и на 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дистанции 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туристско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был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</w:t>
            </w:r>
            <w:r w:rsidR="007F6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«Артеку»). Этого не объяснит на концерте 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бард О. 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Митяев.</w:t>
            </w:r>
          </w:p>
          <w:p w:rsidR="007F6C5A" w:rsidRPr="00B50BB9" w:rsidRDefault="007F6C5A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C5A" w:rsidRPr="00B50BB9" w:rsidRDefault="007F6C5A" w:rsidP="007F6C5A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8" name="Рисунок 9" descr="SUTur 10-10-2018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Tur 10-10-2018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9" name="Рисунок 10" descr="SUTur 10-10-2018 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Tur 10-10-2018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20" name="Рисунок 11" descr="SUTur 10-10-2018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Tur 10-10-2018 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давайте посмотрим, что</w:t>
            </w:r>
            <w:r w:rsidR="0003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́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провел «Артек» в качестве туристского слета для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артековцев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лагеря «Речной», в подавляющем большинстве имеющих опыт совершения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категорийных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походов</w:t>
            </w:r>
            <w:proofErr w:type="gramStart"/>
            <w:r w:rsidR="00BC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(***)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свидетельству очевидцев:</w:t>
            </w:r>
          </w:p>
          <w:p w:rsidR="007F6C5A" w:rsidRPr="00B50BB9" w:rsidRDefault="007F6C5A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0A3" w:rsidRDefault="00ED70A3" w:rsidP="007F6C5A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Штутина</w:t>
            </w:r>
            <w:proofErr w:type="spellEnd"/>
            <w:r w:rsidRPr="00AE7E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 В</w:t>
            </w:r>
            <w:r w:rsidRPr="000316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., главный секретарь соревнований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316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0BB9" w:rsidRPr="00B50BB9" w:rsidRDefault="00ED70A3" w:rsidP="00ED70A3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B50BB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Нестыковки пошли с самого начала, т.</w:t>
            </w:r>
            <w:r w:rsidR="0003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BB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 был отменён выезд детей, назначенный накануне на 8:30 утра. Выезд был перенесён на 13:30, потому что ночью шел дождь, и дороги стали сырыми и скользкими. По той же причине (потому что скользкими и грязными стали тропы) специалисты из МЧС запретили участникам слета пройти последние километры к месту слета ногами. Детей завезли на поляну на транспорте.</w:t>
            </w:r>
          </w:p>
          <w:p w:rsid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месте проведения слета детей ожидали специалисты, призванные их охранять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олиция, 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атрульно-постовая служба,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гвардия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внутренние войска, ГИМС и «сухопутные» специалисты-спасатели. По пруду (по крымским понятиям, скорее все-таки, озеру) ходил катер и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гидроцикл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Спасатели обнесли пруд волчатником и через каждые 50 метров повесили спасательные круги.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Несмотря на охрану, по поляне слета довольно часто ездили автокары, управляемые посторонними слету людьми. Зато дежурила машина скорой помощи из Севастополя, а также на поляне были врачи из «Речного».</w:t>
            </w:r>
          </w:p>
          <w:p w:rsidR="007F6C5A" w:rsidRPr="00B50BB9" w:rsidRDefault="007F6C5A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BB9" w:rsidRDefault="00B50BB9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2" name="Рисунок 12" descr="SUTur 10-10-2018 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Tur 10-10-2018 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3" name="Рисунок 13" descr="SUTur 10-10-2018 1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Tur 10-10-2018 1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4" name="Рисунок 14" descr="SUTur 10-10-2018 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Tur 10-10-2018 12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5A" w:rsidRPr="00B50BB9" w:rsidRDefault="007F6C5A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месте проведения слета стояли палатки для персонала и две полевые кухни: для детей и для персонала. С полевой кухни, очевидно, по договору, кормили охрану. Сотрудникам отдела туризма «Артека» и специалистам партнеров было предложено оплатить питание самостоятельно. Мы предпочли сэкономить и действительно питались самостоятельно.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Первоначально детей из «Речного» планировали разместить на лесной поляне в четырехместных палатках, но там встали «туристические отряды» «Артека» поэтому детей из «Речного» разместили в полутора километрах от полевых кухонь, в двадцатиместных палатках, на площадке с капитальными строениями и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автотехникой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утра специалисты из </w:t>
            </w:r>
            <w:proofErr w:type="gramStart"/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Севастополя поставили дистанцию КТМ (в две нитки на четыре этапа), оставив на этапах бухты веревки для транспортировки «пострадавшего». Они оставили их «без охраны», и когда по приезду детей мы разошлись «по этапам», обнаружилось, что веревки пропали. 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 и дети на КТМ не пришли. Их привезли к месту слета полпятого, повели полдничать, а потом заселяться (полтора километра туда и полтора километра обратно). Когда все обустроились, обнаружилось, что начинает смеркаться, и без фонариков на дистанции КТМ делать, в общем-то, нечего. Но к ночным соревнованиям мы детей не готовили, и потому КТМ отменили.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оставшееся время у детей был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дороге вокруг пруда и на поляне. Дети бегали всем отрядом, находили «литературного героя» и отвечали на его вопросы. А потом отправились спать на свою «стройплощадку».</w:t>
            </w:r>
          </w:p>
          <w:p w:rsidR="00B50BB9" w:rsidRDefault="00B50BB9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3095" cy="1424940"/>
                  <wp:effectExtent l="19050" t="0" r="1905" b="0"/>
                  <wp:docPr id="15" name="Рисунок 15" descr="SUTur 10-10-2018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Tur 10-10-2018 1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71345" cy="1424940"/>
                  <wp:effectExtent l="19050" t="0" r="0" b="0"/>
                  <wp:docPr id="16" name="Рисунок 16" descr="SUTur 10-10-2018 1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Tur 10-10-2018 14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_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7" name="Рисунок 17" descr="SUTur 10-10-2018 15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Tur 10-10-2018 15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C5A" w:rsidRPr="00B50BB9" w:rsidRDefault="007F6C5A" w:rsidP="00EC255F">
            <w:pPr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C5A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утра организаторы слета из числа специалистов «Артека» попытались сделать «хорошую мину при плохой игре» и предложили нам провести КТМ, обещав дать людей для постановки дистанции. Людей они, может быть, дали бы, но времени – нет, это было не реализуемо и потому не серьезно. У нас появилось убеждение, что те, кто предложил нам такой вариант, не имели ни малейшего представления, что они предлагают. </w:t>
            </w:r>
          </w:p>
          <w:p w:rsidR="007F6C5A" w:rsidRDefault="00B50BB9" w:rsidP="00AE7ED9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Поэтому было решено вернуться к первоначальному варианту программы второго дня слета. В том варианте на первую половину дня были запланированы «Ярмарка добрых дел» и «сетевые образовательные модули». </w:t>
            </w:r>
          </w:p>
          <w:p w:rsidR="00AE7ED9" w:rsidRPr="00B50BB9" w:rsidRDefault="00B50BB9" w:rsidP="00AE7ED9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 было предложено поставить площадку ориентирования по карте России (</w:t>
            </w:r>
            <w:r w:rsidR="007F6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фишка</w:t>
            </w:r>
            <w:r w:rsidR="007F6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ФЦДЮТиК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большая карта разворачивается на ровной поверхности, и дети ориентируются по ней в пределах целой страны). Эта площадка могла быть включена в Ярмарку добрых дел. Площадку мы разворачивали до 11:00, а потом ждали, когда к нам придут дети «Речного». </w:t>
            </w:r>
            <w:r w:rsidR="00AE7ED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Вскоре карту России нам предложили свернуть</w:t>
            </w:r>
            <w:r w:rsidR="00AE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E7ED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7ED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потому</w:t>
            </w:r>
            <w:proofErr w:type="gramEnd"/>
            <w:r w:rsidR="00AE7ED9"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на месте ее размещения были запланированы показательные выступления военизированного спецподразделения. Мы свернули.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месте слета появились привезенные на один день дети из других лагерей, «весь Артек». На поляне были организованы «русские народные развлечения», рисование, выжигание, в кустах стреляли из лука.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Туротряды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сделали игру по станциям для привезенных детей. Правда, и тут не обошлось без накладок: в штабе слета перепутали направление движения по игре и пустили детей «в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противоход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запланированному порядку.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 второй половине дня дети «Речного» отправились в четырехкилометровый терренкур по маркированной тропе. Тропа лезла в подъемы, падала в спуски, выходила на гребень шириной метров 10-15. Порядка полутора сотен детей и затерявшихся в детской массе вожатых сопровождали специалисты партнеров (два из Санкт-Петербурга и один из Челябинска). Тропы мы не знали, но с работой, все-таки, справились. Этапов на тропе не было – просто прогулка.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Вечером второго дня началась операция по вывозу младших детей обратно в «Артек». Отряды «Речного» вывозили позже других</w:t>
            </w:r>
            <w:r w:rsidR="00AE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отрядов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привезенных на один день. Наши младшие дети появились в корпусах «Речного» 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полпервого ночи</w:t>
            </w:r>
            <w:proofErr w:type="gram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Однако, экзотика!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Старшие дети на «Тороповой даче» простояли час с лишним перед огромной сценой, на которой «задушевные туристские песни» исполнялись по заранее утвержденной программе. 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Послушав «вживую» </w:t>
            </w:r>
            <w:r w:rsidR="00AE7E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Олега 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Митяева и других, тоже бардов, дети «Речного» вновь отправились ночевать в «экзотическую обстановку» казарм.</w:t>
            </w:r>
            <w:proofErr w:type="gramEnd"/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условиях такого веселья «королевская» туристская ночь становилась почти неизбежной. Утром дети поехали в лагерь</w:t>
            </w:r>
            <w:r w:rsidR="00ED70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50B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50BB9" w:rsidRDefault="00B50BB9" w:rsidP="00031657">
            <w:pPr>
              <w:pStyle w:val="a7"/>
              <w:ind w:firstLine="56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специалист, </w:t>
            </w:r>
            <w:r w:rsidRPr="00AE7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Илья Панов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E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ФЦДЮТиК</w:t>
            </w:r>
            <w:proofErr w:type="spellEnd"/>
            <w:r w:rsidR="00E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Москва)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высказал предположение, что мероприятие проводилось «для галочки», потому что все, что было сделано на «Тороповой даче», можно было сделать не хуже, а лучше – в «Артеке».</w:t>
            </w:r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 что прогулка по четырехкилометровой тропе претендовала на «эксклюзив». Но каждая тропа эксклюзивна по своему, и в программе традиционных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артековских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есть восхождение на Аю-Даг. «Одна тропа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="00AE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́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другой».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="00AE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́</w:t>
            </w: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получаемым впечатлениям, но никак не по затратам на организацию перемещения детей по тропе, на организацию слета. «Галочка» получилась роскошной.</w:t>
            </w:r>
          </w:p>
          <w:p w:rsidR="00F54AE2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Второй большой туристский слет «Артека» проиллюстрировал, во что превращается туризм, как вид детского отдыха, если за него берутся исключительно «сверху». Решают все кадры – не деньги. Но с кадрами необходимо работать. Нужно, чтобы на каждую походную группу детей находился свой, с любовью воспитанный, «кадр». </w:t>
            </w:r>
          </w:p>
          <w:p w:rsidR="00F31BC7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Малозатратность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туризма обеспечивается высоким уровнем универсализма руководителя детской туристской группы (он и штурман, он и охранник, он и диетсестра, и затейник) и высоким уровнем психической и физической готовности детей к путешествию (эта готовность обеспечивается на стадии подготовки к «детскому туристскому отдыху»). </w:t>
            </w:r>
          </w:p>
          <w:p w:rsidR="00F31BC7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лишить детей возможности самообслуживания, если в качестве руководителей групп использовать не профессионалов одновременно и в туризме, и в педагогике, если воспитатель (вожатый) в походе будет следить за детьми, а инструктор – вести по маршруту, если безопасность детей будет обеспечиваться не силами самих детей и руководителей групп, а сотрудниками специализированных организаций (каждая организация следит за своей безопасностью), если готовить для детей</w:t>
            </w:r>
            <w:proofErr w:type="gram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повара, а палатки ставить комендантская служба, детский туризм как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малозатратный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воспитательный вид детского отдыха превратится в </w:t>
            </w:r>
            <w:r w:rsidR="00F31BC7"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затратный </w:t>
            </w:r>
            <w:r w:rsidR="00F3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маловоспитательный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детского отдыха. В этом качестве он не нужен никому, кроме лиц, планирующих на нем заработать. Но кроме заработка в нем не останется ничего по-настоящему значимого. 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«</w:t>
            </w:r>
            <w:proofErr w:type="spellStart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  <w:r w:rsidR="00F3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бла-бла</w:t>
            </w:r>
            <w:proofErr w:type="spellEnd"/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социальную значимость можно пришить ко всему, но это будет не воспитание, а демагогия, распыл (или распил) каких-нибудь средств. Это будет не государственно.</w:t>
            </w:r>
          </w:p>
          <w:p w:rsidR="00B50BB9" w:rsidRPr="00B50BB9" w:rsidRDefault="00B50BB9" w:rsidP="00031657">
            <w:pPr>
              <w:spacing w:after="84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таким получился урок туристского слета в «Артеке».</w:t>
            </w:r>
          </w:p>
        </w:tc>
      </w:tr>
    </w:tbl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Губаненков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М.,</w:t>
      </w: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главный судья</w:t>
      </w: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соревнований походов и экспедиций </w:t>
      </w: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Санкт-Петербург</w:t>
      </w: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FA4" w:rsidRDefault="00957FA4" w:rsidP="00957FA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255F">
        <w:rPr>
          <w:rFonts w:ascii="Times New Roman" w:hAnsi="Times New Roman" w:cs="Times New Roman"/>
          <w:sz w:val="24"/>
          <w:szCs w:val="24"/>
          <w:lang w:eastAsia="ru-RU"/>
        </w:rPr>
        <w:t xml:space="preserve">МДЦ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C255F">
        <w:rPr>
          <w:rFonts w:ascii="Times New Roman" w:hAnsi="Times New Roman" w:cs="Times New Roman"/>
          <w:sz w:val="24"/>
          <w:szCs w:val="24"/>
          <w:lang w:eastAsia="ru-RU"/>
        </w:rPr>
        <w:t>Артек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C255F">
        <w:rPr>
          <w:rFonts w:ascii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EC255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255F">
        <w:rPr>
          <w:rFonts w:ascii="Times New Roman" w:hAnsi="Times New Roman" w:cs="Times New Roman"/>
          <w:sz w:val="24"/>
          <w:szCs w:val="24"/>
          <w:lang w:eastAsia="ru-RU"/>
        </w:rPr>
        <w:t xml:space="preserve">Гурзуф,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C255F">
        <w:rPr>
          <w:rFonts w:ascii="Times New Roman" w:hAnsi="Times New Roman" w:cs="Times New Roman"/>
          <w:sz w:val="24"/>
          <w:szCs w:val="24"/>
          <w:lang w:eastAsia="ru-RU"/>
        </w:rPr>
        <w:t>еспублика Крым</w:t>
      </w:r>
    </w:p>
    <w:p w:rsidR="004334E1" w:rsidRDefault="00957FA4" w:rsidP="00957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55F">
        <w:rPr>
          <w:rFonts w:ascii="Times New Roman" w:hAnsi="Times New Roman" w:cs="Times New Roman"/>
          <w:sz w:val="24"/>
          <w:szCs w:val="24"/>
          <w:lang w:eastAsia="ru-RU"/>
        </w:rPr>
        <w:t>10.10.2018 12:32</w:t>
      </w:r>
    </w:p>
    <w:p w:rsidR="00F31BC7" w:rsidRDefault="00F31BC7" w:rsidP="00EC25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BC7" w:rsidRPr="00F31BC7" w:rsidRDefault="00F31BC7" w:rsidP="00F31BC7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1BC7">
        <w:rPr>
          <w:rFonts w:ascii="Times New Roman" w:hAnsi="Times New Roman" w:cs="Times New Roman"/>
          <w:i/>
          <w:sz w:val="24"/>
          <w:szCs w:val="24"/>
        </w:rPr>
        <w:t xml:space="preserve">*   в данной </w:t>
      </w:r>
      <w:r w:rsidR="00BC6756">
        <w:rPr>
          <w:rFonts w:ascii="Times New Roman" w:hAnsi="Times New Roman" w:cs="Times New Roman"/>
          <w:i/>
          <w:sz w:val="24"/>
          <w:szCs w:val="24"/>
        </w:rPr>
        <w:t xml:space="preserve">авторской </w:t>
      </w:r>
      <w:r w:rsidRPr="00F31BC7">
        <w:rPr>
          <w:rFonts w:ascii="Times New Roman" w:hAnsi="Times New Roman" w:cs="Times New Roman"/>
          <w:i/>
          <w:sz w:val="24"/>
          <w:szCs w:val="24"/>
        </w:rPr>
        <w:t xml:space="preserve">статье изложена позиция </w:t>
      </w:r>
      <w:r w:rsidRPr="00957FA4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F31B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Губаненкова</w:t>
      </w:r>
      <w:proofErr w:type="spellEnd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С. М. (ГБОУ «Балтийский берег» </w:t>
      </w:r>
      <w:proofErr w:type="gramStart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. Санкт-Петербург</w:t>
      </w:r>
      <w:r w:rsidR="00F54AE2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F31BC7" w:rsidRPr="00F31BC7" w:rsidRDefault="00F31BC7" w:rsidP="00F31BC7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31BC7" w:rsidRDefault="00F31BC7" w:rsidP="00F31BC7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**  в статье говорится об одном из видов соревнований </w:t>
      </w:r>
      <w:r w:rsidR="00957F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957FA4" w:rsidRPr="00957FA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контрольно-туристском маршруте</w:t>
      </w:r>
      <w:r w:rsidR="00957FA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КТМ)</w:t>
      </w:r>
      <w:r w:rsidR="00F54AE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программе всероссийских соревнованиях походов и </w:t>
      </w:r>
      <w:proofErr w:type="gramStart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экспедиций</w:t>
      </w:r>
      <w:proofErr w:type="gramEnd"/>
      <w:r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обучающихся Российской Федерации</w:t>
      </w:r>
      <w:r w:rsidR="00F54AE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проведение которого было запланировано </w:t>
      </w:r>
      <w:r w:rsidR="00F54AE2" w:rsidRPr="00F31B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3-5 октября 2018 года </w:t>
      </w:r>
      <w:r w:rsidR="00F54AE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туристском слете </w:t>
      </w:r>
      <w:r w:rsidR="00F54AE2" w:rsidRPr="00F31BC7">
        <w:rPr>
          <w:rFonts w:ascii="Times New Roman" w:hAnsi="Times New Roman" w:cs="Times New Roman"/>
          <w:i/>
          <w:sz w:val="24"/>
          <w:szCs w:val="24"/>
          <w:lang w:eastAsia="ru-RU"/>
        </w:rPr>
        <w:t>в МДЦ «Артек»</w:t>
      </w:r>
      <w:r w:rsidR="00BC6756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BC6756" w:rsidRDefault="00BC6756" w:rsidP="00F31BC7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C6756" w:rsidRPr="00F31BC7" w:rsidRDefault="00BC6756" w:rsidP="00F31BC7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***  протоколы </w:t>
      </w:r>
      <w:r w:rsidR="007F54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результатов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вида соревнований «</w:t>
      </w:r>
      <w:r w:rsidRPr="00BC67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Защита </w:t>
      </w:r>
      <w:r w:rsidR="007F54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отчетов о </w:t>
      </w:r>
      <w:r w:rsidRPr="00BC675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поход</w:t>
      </w:r>
      <w:r w:rsidR="007F54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ах и экспедициях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 прилагаются.</w:t>
      </w:r>
    </w:p>
    <w:sectPr w:rsidR="00BC6756" w:rsidRPr="00F31BC7" w:rsidSect="007F6C5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BB9"/>
    <w:rsid w:val="00031657"/>
    <w:rsid w:val="00120769"/>
    <w:rsid w:val="001E402D"/>
    <w:rsid w:val="004334E1"/>
    <w:rsid w:val="004C0F6F"/>
    <w:rsid w:val="007F5444"/>
    <w:rsid w:val="007F6C5A"/>
    <w:rsid w:val="00957FA4"/>
    <w:rsid w:val="00971F85"/>
    <w:rsid w:val="009F056B"/>
    <w:rsid w:val="00AE7ED9"/>
    <w:rsid w:val="00B50BB9"/>
    <w:rsid w:val="00BC6756"/>
    <w:rsid w:val="00E85B97"/>
    <w:rsid w:val="00EC255F"/>
    <w:rsid w:val="00ED70A3"/>
    <w:rsid w:val="00F31BC7"/>
    <w:rsid w:val="00F5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BB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255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images/stories/sutur/files%20sutur%20partamyan/SUTur%2010-10-2018/SUTur%2010-10-2018%20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alticbereg.ru/images/stories/sutur/files%20sutur%20partamyan/SUTur%2010-10-2018/SUTur%2010-10-2018%208.jpg" TargetMode="External"/><Relationship Id="rId26" Type="http://schemas.openxmlformats.org/officeDocument/2006/relationships/hyperlink" Target="http://www.balticbereg.ru/images/stories/sutur/files%20sutur%20partamyan/SUTur%2010-10-2018/SUTur%2010-10-2018%201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balticbereg.ru/images/stories/sutur/files%20sutur%20partamyan/SUTur%2010-10-2018/SUTur%2010-10-2018%20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balticbereg.ru/images/stories/sutur/files%20sutur%20partamyan/SUTur%2010-10-2018/SUTur%2010-10-2018%207.jpg" TargetMode="External"/><Relationship Id="rId20" Type="http://schemas.openxmlformats.org/officeDocument/2006/relationships/hyperlink" Target="http://www.balticbereg.ru/images/stories/sutur/files%20sutur%20partamyan/SUTur%2010-10-2018/SUTur%2010-10-2018%209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balticbereg.ru/images/stories/sutur/files%20sutur%20partamyan/SUTur%2010-10-2018/SUTur%2010-10-2018%2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alticbereg.ru/images/stories/sutur/files%20sutur%20partamyan/SUTur%2010-10-2018/SUTur%2010-10-2018%2011.jpg" TargetMode="External"/><Relationship Id="rId32" Type="http://schemas.openxmlformats.org/officeDocument/2006/relationships/hyperlink" Target="http://www.balticbereg.ru/images/stories/sutur/files%20sutur%20partamyan/SUTur%2010-10-2018/SUTur%2010-10-2018%201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balticbereg.ru/images/stories/sutur/files%20sutur%20partamyan/SUTur%2010-10-2018/SUTur%2010-10-2018%2013.jpg" TargetMode="External"/><Relationship Id="rId10" Type="http://schemas.openxmlformats.org/officeDocument/2006/relationships/hyperlink" Target="http://www.balticbereg.ru/images/stories/sutur/files%20sutur%20partamyan/SUTur%2010-10-2018/SUTur%2010-10-2018%2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balticbereg.ru/images/stories/sutur/files%20sutur%20partamyan/SUTur%2010-10-2018/SUTur%2010-10-2018%2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alticbereg.ru/images/stories/sutur/files%20sutur%20partamyan/SUTur%2010-10-2018/SUTur%2010-10-2018%206.jpg" TargetMode="External"/><Relationship Id="rId22" Type="http://schemas.openxmlformats.org/officeDocument/2006/relationships/hyperlink" Target="http://www.balticbereg.ru/images/stories/sutur/files%20sutur%20partamyan/SUTur%2010-10-2018/SUTur%2010-10-2018%201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alticbereg.ru/images/stories/sutur/files%20sutur%20partamyan/SUTur%2010-10-2018/SUTur%2010-10-2018%2014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6</cp:revision>
  <dcterms:created xsi:type="dcterms:W3CDTF">2018-10-15T07:34:00Z</dcterms:created>
  <dcterms:modified xsi:type="dcterms:W3CDTF">2018-10-16T08:19:00Z</dcterms:modified>
</cp:coreProperties>
</file>