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027201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ПРОЕКТ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</w:t>
      </w:r>
      <w:proofErr w:type="gramStart"/>
      <w:r w:rsidRPr="00027201">
        <w:rPr>
          <w:b/>
          <w:sz w:val="28"/>
          <w:szCs w:val="28"/>
        </w:rPr>
        <w:t>туристско-краеведческой</w:t>
      </w:r>
      <w:proofErr w:type="gramEnd"/>
      <w:r w:rsidRPr="00027201">
        <w:rPr>
          <w:b/>
          <w:sz w:val="28"/>
          <w:szCs w:val="28"/>
        </w:rPr>
        <w:t xml:space="preserve">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воспитанниками,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027201">
        <w:rPr>
          <w:b/>
          <w:sz w:val="28"/>
          <w:szCs w:val="28"/>
        </w:rPr>
        <w:t>посвященном</w:t>
      </w:r>
      <w:proofErr w:type="gramEnd"/>
      <w:r w:rsidRPr="00027201">
        <w:rPr>
          <w:b/>
          <w:sz w:val="28"/>
          <w:szCs w:val="28"/>
        </w:rPr>
        <w:t xml:space="preserve"> 100-летию системы дополнительного образования детей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Краевой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воспитанниками, посвященный 100-летию системы дополнительного образования детей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1.2. Конкурс является региональным этапом всероссийского конкурса и проводится в соответствии с Положением о всероссийском конкурсе учебных и методических материалов в помощь педагогам, организаторам туристско-экскурсионной работы с обучающимися, воспитанниками, посвященном 100-летию системы дополнительного образования детей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повысить эффективность образовательного процесса путем внедрения в 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</w:t>
      </w:r>
      <w:proofErr w:type="gramStart"/>
      <w:r w:rsidRPr="00027201">
        <w:rPr>
          <w:sz w:val="28"/>
          <w:szCs w:val="28"/>
        </w:rPr>
        <w:t>гармонизацию</w:t>
      </w:r>
      <w:proofErr w:type="gramEnd"/>
      <w:r w:rsidRPr="00027201">
        <w:rPr>
          <w:sz w:val="28"/>
          <w:szCs w:val="28"/>
        </w:rPr>
        <w:t xml:space="preserve">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lastRenderedPageBreak/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2.1. Общее руководство организации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конкурсных материалов для участия во всероссийском Конкурсе.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3.1.1. Первый этап (муниципальный) – январь-февраль 2018 года, проводится </w:t>
      </w:r>
      <w:r w:rsidRPr="00027201">
        <w:rPr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февраль 2018 года, проводится в заочной форме Оргкомитетом.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дополнительные </w:t>
      </w:r>
      <w:proofErr w:type="spellStart"/>
      <w:r w:rsidRPr="00027201">
        <w:rPr>
          <w:sz w:val="28"/>
          <w:szCs w:val="28"/>
        </w:rPr>
        <w:t>общеразвивающие</w:t>
      </w:r>
      <w:proofErr w:type="spellEnd"/>
      <w:r w:rsidRPr="00027201">
        <w:rPr>
          <w:sz w:val="28"/>
          <w:szCs w:val="28"/>
        </w:rPr>
        <w:t xml:space="preserve"> программы;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дидактические материалы (видеофильмы, словари, путеводители, 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информационные технологии в учебно-воспитательном процессе.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 и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спортивное ориентирование;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повышение профессиональной </w:t>
      </w:r>
      <w:proofErr w:type="gramStart"/>
      <w:r w:rsidRPr="00027201">
        <w:rPr>
          <w:sz w:val="28"/>
          <w:szCs w:val="28"/>
        </w:rPr>
        <w:t>квалификации работников системы дополнительного образования детей</w:t>
      </w:r>
      <w:proofErr w:type="gramEnd"/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6.2. Для участия в краевом этапе Конкурса муниципальными оргкомитетами направляются лучшие методические материалы (не более двух в каждой номинации). Перечень документации на каждую конкурсную работу:</w:t>
      </w:r>
    </w:p>
    <w:p w:rsidR="00027201" w:rsidRPr="00027201" w:rsidRDefault="00027201" w:rsidP="000272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851"/>
        </w:tabs>
        <w:autoSpaceDE w:val="0"/>
        <w:autoSpaceDN w:val="0"/>
        <w:adjustRightInd w:val="0"/>
        <w:spacing w:line="252" w:lineRule="auto"/>
        <w:ind w:left="0"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заявка-анкета участника Конкурса от муниципального оргкомитета или учреждения дополнительного образования детей на участие в Конкурсе, включающая согласие на обработку персональных данных (приложение 2);</w:t>
      </w:r>
    </w:p>
    <w:p w:rsidR="00027201" w:rsidRPr="00027201" w:rsidRDefault="00027201" w:rsidP="000272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851"/>
        </w:tabs>
        <w:autoSpaceDE w:val="0"/>
        <w:autoSpaceDN w:val="0"/>
        <w:adjustRightInd w:val="0"/>
        <w:spacing w:line="252" w:lineRule="auto"/>
        <w:ind w:left="0" w:firstLine="567"/>
        <w:jc w:val="both"/>
        <w:rPr>
          <w:sz w:val="28"/>
          <w:szCs w:val="28"/>
        </w:rPr>
      </w:pPr>
      <w:r w:rsidRPr="00027201">
        <w:rPr>
          <w:spacing w:val="-2"/>
          <w:sz w:val="28"/>
          <w:szCs w:val="28"/>
        </w:rPr>
        <w:t>т</w:t>
      </w:r>
      <w:r w:rsidRPr="00027201">
        <w:rPr>
          <w:sz w:val="28"/>
          <w:szCs w:val="28"/>
        </w:rPr>
        <w:t xml:space="preserve">екст конкурсной работы на бумажном носителе. Листы сброшюрованы, пронумерованы, без пластиковых файлов, шрифт </w:t>
      </w:r>
      <w:r w:rsidRPr="00027201">
        <w:rPr>
          <w:sz w:val="28"/>
          <w:szCs w:val="28"/>
          <w:lang w:val="en-US"/>
        </w:rPr>
        <w:t>Times</w:t>
      </w:r>
      <w:r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  <w:lang w:val="en-US"/>
        </w:rPr>
        <w:t>New</w:t>
      </w:r>
      <w:r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  <w:lang w:val="en-US"/>
        </w:rPr>
        <w:t>Roman</w:t>
      </w:r>
      <w:r w:rsidRPr="00027201">
        <w:rPr>
          <w:sz w:val="28"/>
          <w:szCs w:val="28"/>
        </w:rPr>
        <w:t xml:space="preserve">, кегль 14, интервал полуторный. Пояснительная записка к материалу должна содержать: 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область применения методического материала;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возраст </w:t>
      </w:r>
      <w:proofErr w:type="gramStart"/>
      <w:r w:rsidRPr="00027201">
        <w:rPr>
          <w:sz w:val="28"/>
          <w:szCs w:val="28"/>
        </w:rPr>
        <w:t>обучающихся</w:t>
      </w:r>
      <w:proofErr w:type="gramEnd"/>
      <w:r w:rsidRPr="00027201">
        <w:rPr>
          <w:sz w:val="28"/>
          <w:szCs w:val="28"/>
        </w:rPr>
        <w:t>, на который рассчитан материал;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цель и задачи;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формы и методы реализации;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тематическое содержание;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перечень источников для обучающихся и педагогов;</w:t>
      </w:r>
    </w:p>
    <w:p w:rsidR="00027201" w:rsidRPr="00027201" w:rsidRDefault="00027201" w:rsidP="00027201">
      <w:pPr>
        <w:tabs>
          <w:tab w:val="left" w:pos="720"/>
          <w:tab w:val="left" w:pos="851"/>
        </w:tabs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027201">
        <w:rPr>
          <w:sz w:val="28"/>
          <w:szCs w:val="28"/>
        </w:rPr>
        <w:t>обучающимися</w:t>
      </w:r>
      <w:proofErr w:type="gramEnd"/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851"/>
        </w:tabs>
        <w:autoSpaceDE w:val="0"/>
        <w:autoSpaceDN w:val="0"/>
        <w:adjustRightInd w:val="0"/>
        <w:spacing w:line="252" w:lineRule="auto"/>
        <w:ind w:left="0"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лицензионный договор на использование работы (приложение 3);</w:t>
      </w:r>
    </w:p>
    <w:p w:rsidR="00027201" w:rsidRPr="00027201" w:rsidRDefault="00027201" w:rsidP="0002720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851"/>
        </w:tabs>
        <w:autoSpaceDE w:val="0"/>
        <w:autoSpaceDN w:val="0"/>
        <w:adjustRightInd w:val="0"/>
        <w:spacing w:line="252" w:lineRule="auto"/>
        <w:ind w:left="0" w:firstLine="567"/>
        <w:jc w:val="both"/>
        <w:rPr>
          <w:sz w:val="28"/>
          <w:szCs w:val="28"/>
        </w:rPr>
      </w:pPr>
      <w:r w:rsidRPr="00027201">
        <w:rPr>
          <w:spacing w:val="-1"/>
          <w:sz w:val="28"/>
          <w:szCs w:val="28"/>
        </w:rPr>
        <w:t xml:space="preserve">электронный вариант всех конкурсных документов на </w:t>
      </w:r>
      <w:r w:rsidRPr="00027201">
        <w:rPr>
          <w:spacing w:val="-1"/>
          <w:sz w:val="28"/>
          <w:szCs w:val="28"/>
          <w:lang w:val="en-US"/>
        </w:rPr>
        <w:t>CD</w:t>
      </w:r>
      <w:r w:rsidRPr="00027201">
        <w:rPr>
          <w:spacing w:val="-1"/>
          <w:sz w:val="28"/>
          <w:szCs w:val="28"/>
        </w:rPr>
        <w:t xml:space="preserve"> диске</w:t>
      </w:r>
      <w:r w:rsidRPr="00027201">
        <w:rPr>
          <w:b/>
          <w:i/>
          <w:spacing w:val="-1"/>
          <w:sz w:val="28"/>
          <w:szCs w:val="28"/>
        </w:rPr>
        <w:t xml:space="preserve"> </w:t>
      </w:r>
      <w:r w:rsidRPr="00027201">
        <w:rPr>
          <w:spacing w:val="-1"/>
          <w:sz w:val="28"/>
          <w:szCs w:val="28"/>
        </w:rPr>
        <w:t>(документы в формате .</w:t>
      </w:r>
      <w:r w:rsidRPr="00027201">
        <w:rPr>
          <w:spacing w:val="-1"/>
          <w:sz w:val="28"/>
          <w:szCs w:val="28"/>
          <w:lang w:val="en-US"/>
        </w:rPr>
        <w:t>doc</w:t>
      </w:r>
      <w:r w:rsidRPr="00027201">
        <w:rPr>
          <w:sz w:val="28"/>
          <w:szCs w:val="28"/>
        </w:rPr>
        <w:t xml:space="preserve"> для </w:t>
      </w:r>
      <w:r w:rsidRPr="00027201">
        <w:rPr>
          <w:sz w:val="28"/>
          <w:szCs w:val="28"/>
          <w:lang w:val="en-US"/>
        </w:rPr>
        <w:t>Windows</w:t>
      </w:r>
      <w:r w:rsidRPr="00027201">
        <w:rPr>
          <w:sz w:val="28"/>
          <w:szCs w:val="28"/>
        </w:rPr>
        <w:t xml:space="preserve"> – 2000 и более новых версий, иллюстрации в формате .</w:t>
      </w:r>
      <w:r w:rsidRPr="00027201">
        <w:rPr>
          <w:sz w:val="28"/>
          <w:szCs w:val="28"/>
          <w:lang w:val="en-US"/>
        </w:rPr>
        <w:t>jpg</w:t>
      </w:r>
      <w:r w:rsidRPr="00027201">
        <w:rPr>
          <w:sz w:val="28"/>
          <w:szCs w:val="28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Ф.И.О. участника и название образовательного учреждения (колонтитул).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6.3. Конкурсная документация краевого этапа Конкурса принимается в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«Муравейник»» (614068, г. Пермь, ул. </w:t>
      </w:r>
      <w:proofErr w:type="spellStart"/>
      <w:r w:rsidRPr="00027201">
        <w:rPr>
          <w:sz w:val="28"/>
          <w:szCs w:val="28"/>
        </w:rPr>
        <w:t>Генкеля</w:t>
      </w:r>
      <w:proofErr w:type="spellEnd"/>
      <w:r w:rsidRPr="00027201">
        <w:rPr>
          <w:sz w:val="28"/>
          <w:szCs w:val="28"/>
        </w:rPr>
        <w:t xml:space="preserve">, дом 1 б) </w:t>
      </w:r>
      <w:r w:rsidRPr="00027201">
        <w:rPr>
          <w:b/>
          <w:sz w:val="28"/>
          <w:szCs w:val="28"/>
        </w:rPr>
        <w:t>до 15 февраля 2018 года</w:t>
      </w:r>
      <w:r w:rsidRPr="00027201">
        <w:rPr>
          <w:sz w:val="28"/>
          <w:szCs w:val="28"/>
        </w:rPr>
        <w:t xml:space="preserve">. Подведение итогов – 28 февраля 2018 года.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6.4. Материалы, представленные на Конкурс, не возвращаются, оценочные </w:t>
      </w:r>
      <w:proofErr w:type="gramStart"/>
      <w:r w:rsidRPr="00027201">
        <w:rPr>
          <w:sz w:val="28"/>
          <w:szCs w:val="28"/>
        </w:rPr>
        <w:t>протоколы</w:t>
      </w:r>
      <w:proofErr w:type="gramEnd"/>
      <w:r w:rsidRPr="00027201">
        <w:rPr>
          <w:sz w:val="28"/>
          <w:szCs w:val="28"/>
        </w:rPr>
        <w:t xml:space="preserve">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6.7. Распространение и публикация представленных на Конкурс методических материалов осуществляется с согласия авторов (приложение 3).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6.8. К участию в Конкурсе не допускаются и не рассматриваются методические материалы, ранее участвовавшие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Если материалы ранее были опубликованы или участвовали в других конкурсах, необходимо указать в заявке-анкете, где и когда (приложение 2, п. 11).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 и актуальность;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учет национально-региональных особенностей;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заявленному виду.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8. Финансирование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8.1. Министерство образования и науки Пермского края финансирует расходы по организации и проведению краевого этапа Конкурса в части оплаты работы жюри, приобретения дипломов для награждения лауреатов и дипломантов, сертификатов участников, издание сборника материалов Конкурса, услуг по отправке конкурсных материалов на всероссийский конкурс.</w:t>
      </w:r>
    </w:p>
    <w:p w:rsidR="00027201" w:rsidRPr="00027201" w:rsidRDefault="00027201" w:rsidP="00027201">
      <w:pPr>
        <w:pStyle w:val="3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8.2.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9. Подведение итогов и награждение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9.1. В каждой номинации краевого этапа Конкурса определяются лауреаты и дипломанты, которые награждаются дипломами. Участники Конкурса получают сертификаты.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9.2. Лучшие материалы Конкурса (не более 2-х в каждой номинации) по решению Оргкомитета направляются для участия в финале всероссийского Конкурса.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9.3. Результаты Конкурса публикуются в информационно-методическом журнале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 и на сайте </w:t>
      </w:r>
      <w:hyperlink r:id="rId5" w:history="1">
        <w:r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Pr="00027201">
        <w:rPr>
          <w:sz w:val="28"/>
          <w:szCs w:val="28"/>
        </w:rPr>
        <w:t xml:space="preserve"> .</w:t>
      </w:r>
    </w:p>
    <w:p w:rsidR="00027201" w:rsidRPr="00027201" w:rsidRDefault="00027201" w:rsidP="00027201">
      <w:pPr>
        <w:pStyle w:val="2"/>
        <w:spacing w:line="252" w:lineRule="auto"/>
        <w:jc w:val="center"/>
        <w:rPr>
          <w:b/>
          <w:bCs/>
          <w:szCs w:val="28"/>
        </w:rPr>
      </w:pPr>
      <w:r w:rsidRPr="00027201">
        <w:rPr>
          <w:b/>
          <w:bCs/>
          <w:szCs w:val="28"/>
        </w:rPr>
        <w:t>10. Персональные данные участников</w:t>
      </w:r>
    </w:p>
    <w:p w:rsidR="00027201" w:rsidRPr="00027201" w:rsidRDefault="00027201" w:rsidP="00027201">
      <w:pPr>
        <w:pStyle w:val="2"/>
        <w:spacing w:line="252" w:lineRule="auto"/>
        <w:ind w:firstLine="567"/>
        <w:rPr>
          <w:szCs w:val="28"/>
        </w:rPr>
      </w:pPr>
      <w:r w:rsidRPr="00027201">
        <w:rPr>
          <w:szCs w:val="28"/>
        </w:rPr>
        <w:t>10.1. Персональные данные участников обрабатываются оператором в соответствии с Федеральным законом №152-ФЗ «О персональных данных» от 27.03.2006 г.</w:t>
      </w:r>
    </w:p>
    <w:p w:rsidR="00027201" w:rsidRPr="00027201" w:rsidRDefault="00027201" w:rsidP="00027201">
      <w:pPr>
        <w:pStyle w:val="2"/>
        <w:spacing w:line="252" w:lineRule="auto"/>
        <w:ind w:firstLine="567"/>
        <w:rPr>
          <w:szCs w:val="28"/>
        </w:rPr>
      </w:pPr>
      <w:r w:rsidRPr="00027201">
        <w:rPr>
          <w:szCs w:val="28"/>
        </w:rPr>
        <w:t xml:space="preserve">10.2. Операторами персональных данных участников являются: </w:t>
      </w:r>
      <w:proofErr w:type="gramStart"/>
      <w:r w:rsidRPr="00027201">
        <w:rPr>
          <w:szCs w:val="28"/>
        </w:rPr>
        <w:t>Министерство образования и науки Пермского края (г. Пермь, ул. Куйбышева, 14), и ГУ ДО «Пермский краевой центр «Муравейник» (г. Пермь, ул. Пушкина, 76).</w:t>
      </w:r>
      <w:proofErr w:type="gramEnd"/>
    </w:p>
    <w:p w:rsidR="00027201" w:rsidRPr="00027201" w:rsidRDefault="00027201" w:rsidP="00027201">
      <w:pPr>
        <w:pStyle w:val="2"/>
        <w:spacing w:line="252" w:lineRule="auto"/>
        <w:ind w:firstLine="567"/>
        <w:rPr>
          <w:bCs/>
          <w:szCs w:val="28"/>
        </w:rPr>
      </w:pPr>
      <w:r w:rsidRPr="00027201">
        <w:rPr>
          <w:szCs w:val="28"/>
        </w:rPr>
        <w:lastRenderedPageBreak/>
        <w:t xml:space="preserve">10.3. </w:t>
      </w:r>
      <w:r w:rsidRPr="00027201">
        <w:rPr>
          <w:bCs/>
          <w:szCs w:val="28"/>
        </w:rPr>
        <w:t>Цели обработки персональных данных:</w:t>
      </w:r>
    </w:p>
    <w:p w:rsidR="00027201" w:rsidRPr="00027201" w:rsidRDefault="00027201" w:rsidP="00027201">
      <w:pPr>
        <w:suppressAutoHyphens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027201" w:rsidRPr="00027201" w:rsidRDefault="00027201" w:rsidP="00027201">
      <w:pPr>
        <w:suppressAutoHyphens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27201" w:rsidRPr="00027201" w:rsidRDefault="00027201" w:rsidP="00027201">
      <w:pPr>
        <w:suppressAutoHyphens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027201" w:rsidRPr="00027201" w:rsidRDefault="00027201" w:rsidP="00027201">
      <w:pPr>
        <w:pStyle w:val="2"/>
        <w:spacing w:line="252" w:lineRule="auto"/>
        <w:ind w:firstLine="567"/>
        <w:rPr>
          <w:szCs w:val="28"/>
        </w:rPr>
      </w:pPr>
      <w:r w:rsidRPr="00027201">
        <w:rPr>
          <w:bCs/>
          <w:szCs w:val="28"/>
        </w:rPr>
        <w:t>10.4. В</w:t>
      </w:r>
      <w:r w:rsidRPr="00027201">
        <w:rPr>
          <w:szCs w:val="28"/>
        </w:rPr>
        <w:t xml:space="preserve">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11.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proofErr w:type="spellStart"/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proofErr w:type="spellEnd"/>
      <w:r w:rsidRPr="00027201">
        <w:rPr>
          <w:color w:val="333333"/>
          <w:sz w:val="28"/>
          <w:szCs w:val="28"/>
          <w:shd w:val="clear" w:color="auto" w:fill="FFFFFF"/>
        </w:rPr>
        <w:t>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1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</w:rPr>
        <w:t xml:space="preserve">Состав организационного комитета </w:t>
      </w:r>
      <w:r w:rsidRPr="00027201">
        <w:rPr>
          <w:b/>
          <w:bCs/>
        </w:rPr>
        <w:t xml:space="preserve">по подготовке и проведению краевого конкурса </w:t>
      </w: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учебных и методических материалов в помощь педагогам, организаторам </w:t>
      </w: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туристско-краеведческой и экскурсионной работы с обучающимися, воспитанниками, </w:t>
      </w:r>
    </w:p>
    <w:p w:rsidR="00027201" w:rsidRPr="00027201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>посвященного 100-летию системы дополнительного образования детей</w:t>
      </w:r>
    </w:p>
    <w:p w:rsidR="00027201" w:rsidRPr="00027201" w:rsidRDefault="00027201" w:rsidP="00027201">
      <w:pPr>
        <w:widowControl w:val="0"/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3369"/>
        <w:gridCol w:w="283"/>
        <w:gridCol w:w="6662"/>
      </w:tblGrid>
      <w:tr w:rsidR="00027201" w:rsidRPr="00027201" w:rsidTr="00027201">
        <w:trPr>
          <w:trHeight w:val="858"/>
        </w:trPr>
        <w:tc>
          <w:tcPr>
            <w:tcW w:w="3369" w:type="dxa"/>
          </w:tcPr>
          <w:p w:rsidR="00027201" w:rsidRPr="00027201" w:rsidRDefault="00027201">
            <w:pPr>
              <w:ind w:right="-108"/>
            </w:pPr>
            <w:proofErr w:type="spellStart"/>
            <w:r w:rsidRPr="00027201">
              <w:t>Жадаев</w:t>
            </w:r>
            <w:proofErr w:type="spellEnd"/>
            <w:r w:rsidRPr="00027201">
              <w:t xml:space="preserve"> Дмитрий Николаевич</w:t>
            </w:r>
          </w:p>
          <w:p w:rsidR="00027201" w:rsidRPr="00027201" w:rsidRDefault="00027201">
            <w:pPr>
              <w:ind w:right="-108"/>
            </w:pPr>
            <w:r w:rsidRPr="00027201">
              <w:t>(председатель)</w:t>
            </w:r>
          </w:p>
          <w:p w:rsidR="00027201" w:rsidRPr="00027201" w:rsidRDefault="00027201">
            <w:pPr>
              <w:ind w:right="-108"/>
            </w:pPr>
          </w:p>
          <w:p w:rsidR="00027201" w:rsidRPr="00027201" w:rsidRDefault="00027201">
            <w:pPr>
              <w:ind w:right="-108"/>
            </w:pPr>
            <w:r w:rsidRPr="00027201">
              <w:t>Сулейманова Софья Сергеевна</w:t>
            </w:r>
          </w:p>
          <w:p w:rsidR="00027201" w:rsidRPr="00027201" w:rsidRDefault="00027201">
            <w:pPr>
              <w:ind w:right="-108"/>
            </w:pPr>
            <w:r w:rsidRPr="00027201">
              <w:t>(заместитель председателя)</w:t>
            </w:r>
          </w:p>
        </w:tc>
        <w:tc>
          <w:tcPr>
            <w:tcW w:w="283" w:type="dxa"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  <w:p w:rsidR="00027201" w:rsidRPr="00027201" w:rsidRDefault="00027201">
            <w:pPr>
              <w:ind w:left="-108" w:right="-108"/>
              <w:jc w:val="center"/>
            </w:pPr>
          </w:p>
          <w:p w:rsidR="00027201" w:rsidRPr="00027201" w:rsidRDefault="00027201">
            <w:pPr>
              <w:ind w:left="-108" w:right="-108"/>
              <w:jc w:val="center"/>
            </w:pPr>
          </w:p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1">
              <w:rPr>
                <w:rFonts w:ascii="Times New Roman" w:hAnsi="Times New Roman" w:cs="Times New Roman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края;</w:t>
            </w:r>
          </w:p>
          <w:p w:rsidR="00027201" w:rsidRPr="00027201" w:rsidRDefault="0002720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027201">
              <w:rPr>
                <w:rFonts w:ascii="Times New Roman" w:hAnsi="Times New Roman" w:cs="Times New Roman"/>
              </w:rPr>
              <w:t xml:space="preserve">кандидат педагогических наук, доцент кафедры социальной педагогики </w:t>
            </w:r>
            <w:r w:rsidRPr="00027201">
              <w:rPr>
                <w:rFonts w:ascii="Times New Roman" w:hAnsi="Times New Roman" w:cs="Times New Roman"/>
                <w:shd w:val="clear" w:color="auto" w:fill="FFFFFF"/>
              </w:rPr>
              <w:t xml:space="preserve">Федерального государственного бюджетного образовательного учреждения высшего профессионального образования </w:t>
            </w:r>
            <w:r w:rsidRPr="00027201"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02720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Пермский государственный гуманитарно-педагогический университет</w:t>
            </w:r>
            <w:r w:rsidRPr="00027201">
              <w:rPr>
                <w:rFonts w:ascii="Times New Roman" w:hAnsi="Times New Roman" w:cs="Times New Roman"/>
                <w:shd w:val="clear" w:color="auto" w:fill="FFFFFF"/>
              </w:rPr>
              <w:t>»;</w:t>
            </w:r>
          </w:p>
        </w:tc>
      </w:tr>
      <w:tr w:rsidR="00027201" w:rsidRPr="00027201" w:rsidTr="00027201">
        <w:trPr>
          <w:trHeight w:val="694"/>
        </w:trPr>
        <w:tc>
          <w:tcPr>
            <w:tcW w:w="3369" w:type="dxa"/>
            <w:hideMark/>
          </w:tcPr>
          <w:p w:rsidR="00027201" w:rsidRPr="00027201" w:rsidRDefault="00027201">
            <w:r w:rsidRPr="00027201">
              <w:t>Зуев Анатолий Павлович</w:t>
            </w:r>
          </w:p>
          <w:p w:rsidR="00027201" w:rsidRPr="00027201" w:rsidRDefault="00027201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  <w:rPr>
                <w:sz w:val="16"/>
                <w:szCs w:val="16"/>
              </w:rPr>
            </w:pPr>
            <w:r w:rsidRPr="00027201">
              <w:t>старший инструктор-методист государственного учреждения дополнительного образования «Пермский краевой центр «Муравейник»;</w:t>
            </w:r>
          </w:p>
        </w:tc>
      </w:tr>
      <w:tr w:rsidR="00027201" w:rsidRPr="00027201" w:rsidTr="00027201">
        <w:trPr>
          <w:trHeight w:val="720"/>
        </w:trPr>
        <w:tc>
          <w:tcPr>
            <w:tcW w:w="3369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  <w:rPr>
                <w:sz w:val="16"/>
                <w:szCs w:val="16"/>
              </w:rPr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</w:tc>
      </w:tr>
      <w:tr w:rsidR="00027201" w:rsidRPr="00027201" w:rsidTr="00027201">
        <w:trPr>
          <w:trHeight w:val="674"/>
        </w:trPr>
        <w:tc>
          <w:tcPr>
            <w:tcW w:w="3369" w:type="dxa"/>
            <w:hideMark/>
          </w:tcPr>
          <w:p w:rsidR="00027201" w:rsidRPr="00027201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края».</w:t>
            </w:r>
          </w:p>
        </w:tc>
      </w:tr>
    </w:tbl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2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участника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краевого </w:t>
      </w:r>
      <w:r w:rsidRPr="00027201">
        <w:rPr>
          <w:b/>
          <w:bCs/>
        </w:rPr>
        <w:t xml:space="preserve">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воспитанниками, </w:t>
      </w:r>
      <w:r w:rsidRPr="00027201">
        <w:rPr>
          <w:b/>
        </w:rPr>
        <w:t>посвященного 100-летию системы дополнительного образования детей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  <w:sz w:val="16"/>
          <w:szCs w:val="16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1. Территория (район, город)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2. Фамилии, имя и отчество автора или авторов (полностью)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3. Дата рождения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4. Место работы (полное наименование образовательного учреждения), должность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5. Адрес места работы, телефон,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учреждения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6. Домашний адрес, телефон, личный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7. Сведения об образовании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8. Стаж работы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9. Номинация Конкурса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10. Название конкурсного материала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11. Дополнительные сведения </w:t>
      </w:r>
    </w:p>
    <w:p w:rsidR="00027201" w:rsidRPr="00027201" w:rsidRDefault="00027201" w:rsidP="00027201">
      <w:pPr>
        <w:ind w:firstLine="567"/>
        <w:jc w:val="both"/>
      </w:pPr>
    </w:p>
    <w:p w:rsidR="00027201" w:rsidRPr="00027201" w:rsidRDefault="00027201" w:rsidP="00027201">
      <w:pPr>
        <w:ind w:firstLine="567"/>
        <w:jc w:val="both"/>
      </w:pPr>
      <w:r w:rsidRPr="00027201">
        <w:t xml:space="preserve">В соответствии с Федеральным законом №152-ФЗ «О персональных данных» от 27.03.2006 г. даю разрешение на обработку указанных персональных данных (согласно п. 10 Положения) операторам: </w:t>
      </w:r>
      <w:proofErr w:type="gramStart"/>
      <w:r w:rsidRPr="00027201">
        <w:t>Министерство образования и науки Пермского края (г. Пермь, ул. Куйбышева, 14) и ГУ ДО «Пермский краевой центр «Муравейник» (г. Пермь, ул. Пушкина, 76).</w:t>
      </w:r>
      <w:proofErr w:type="gramEnd"/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7201">
        <w:rPr>
          <w:rFonts w:ascii="Times New Roman" w:hAnsi="Times New Roman" w:cs="Times New Roman"/>
        </w:rPr>
        <w:t xml:space="preserve">Дата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ab/>
        <w:t xml:space="preserve">Подпись участника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</w:t>
      </w:r>
      <w:r w:rsidRPr="00027201">
        <w:rPr>
          <w:rFonts w:ascii="Times New Roman" w:hAnsi="Times New Roman" w:cs="Times New Roman"/>
        </w:rPr>
        <w:t>/</w:t>
      </w:r>
      <w:r w:rsidRPr="00027201">
        <w:rPr>
          <w:rFonts w:ascii="Times New Roman" w:hAnsi="Times New Roman" w:cs="Times New Roman"/>
          <w:u w:val="single"/>
        </w:rPr>
        <w:tab/>
        <w:t xml:space="preserve">        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    </w:t>
      </w:r>
      <w:r w:rsidRPr="00027201">
        <w:rPr>
          <w:rFonts w:ascii="Times New Roman" w:hAnsi="Times New Roman" w:cs="Times New Roman"/>
        </w:rPr>
        <w:t xml:space="preserve">/ </w:t>
      </w:r>
    </w:p>
    <w:p w:rsidR="00027201" w:rsidRPr="00027201" w:rsidRDefault="00027201" w:rsidP="00027201">
      <w:pPr>
        <w:spacing w:line="252" w:lineRule="auto"/>
        <w:ind w:firstLine="567"/>
        <w:jc w:val="both"/>
      </w:pPr>
    </w:p>
    <w:p w:rsidR="00027201" w:rsidRPr="00027201" w:rsidRDefault="00027201" w:rsidP="00027201">
      <w:pPr>
        <w:spacing w:line="252" w:lineRule="auto"/>
        <w:ind w:firstLine="567"/>
        <w:jc w:val="both"/>
      </w:pPr>
    </w:p>
    <w:p w:rsidR="00027201" w:rsidRPr="00027201" w:rsidRDefault="00027201" w:rsidP="00027201">
      <w:pPr>
        <w:spacing w:line="252" w:lineRule="auto"/>
        <w:ind w:firstLine="567"/>
        <w:jc w:val="both"/>
      </w:pPr>
    </w:p>
    <w:p w:rsidR="00027201" w:rsidRPr="00027201" w:rsidRDefault="00027201" w:rsidP="00027201">
      <w:pPr>
        <w:spacing w:line="252" w:lineRule="auto"/>
        <w:ind w:firstLine="567"/>
        <w:jc w:val="both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3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______</w:t>
      </w: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  <w:t>«______» _________________20___ г.</w:t>
      </w:r>
    </w:p>
    <w:p w:rsidR="00027201" w:rsidRPr="00027201" w:rsidRDefault="00027201" w:rsidP="00027201">
      <w:pPr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____________________________________________________________________________________, </w:t>
      </w:r>
    </w:p>
    <w:p w:rsidR="00027201" w:rsidRPr="00027201" w:rsidRDefault="00027201" w:rsidP="00027201">
      <w:pPr>
        <w:ind w:firstLine="567"/>
        <w:jc w:val="center"/>
        <w:rPr>
          <w:i/>
        </w:rPr>
      </w:pPr>
      <w:r w:rsidRPr="00027201">
        <w:rPr>
          <w:i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proofErr w:type="spellStart"/>
      <w:r w:rsidRPr="00027201">
        <w:t>Кольмая</w:t>
      </w:r>
      <w:proofErr w:type="spellEnd"/>
      <w:r w:rsidRPr="00027201">
        <w:t xml:space="preserve"> Дмитрия Викторовича,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027201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____________________________________________________________________________________ ,</w:t>
      </w:r>
    </w:p>
    <w:p w:rsidR="00027201" w:rsidRPr="00027201" w:rsidRDefault="00027201" w:rsidP="00027201">
      <w:pPr>
        <w:ind w:firstLine="567"/>
        <w:jc w:val="center"/>
        <w:rPr>
          <w:i/>
        </w:rPr>
      </w:pPr>
      <w:r w:rsidRPr="00027201">
        <w:rPr>
          <w:i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proofErr w:type="gramStart"/>
      <w:r w:rsidRPr="00027201">
        <w:t>именуемое</w:t>
      </w:r>
      <w:proofErr w:type="gramEnd"/>
      <w:r w:rsidRPr="00027201">
        <w:t xml:space="preserve">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lastRenderedPageBreak/>
        <w:t xml:space="preserve">1.2. Пользователь обязуется не вносить в Методический </w:t>
      </w:r>
      <w:proofErr w:type="gramStart"/>
      <w:r w:rsidRPr="00027201">
        <w:t>материал</w:t>
      </w:r>
      <w:proofErr w:type="gramEnd"/>
      <w:r w:rsidRPr="00027201">
        <w:t xml:space="preserve">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5. ЮРИДИЧЕСКИЕ АДРЕСА И РЕКВИЗИТЫ СТОРОН</w:t>
      </w:r>
    </w:p>
    <w:p w:rsidR="00027201" w:rsidRPr="00027201" w:rsidRDefault="00027201" w:rsidP="00027201">
      <w:pPr>
        <w:rPr>
          <w:b/>
        </w:rPr>
      </w:pPr>
      <w:r w:rsidRPr="000272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25pt;margin-top:12.15pt;width:215.45pt;height:173.55pt;z-index:251658240;mso-width-relative:margin;mso-height-relative:margin" stroked="f">
            <v:textbox>
              <w:txbxContent>
                <w:p w:rsidR="00027201" w:rsidRDefault="00027201" w:rsidP="00027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«Пользователь»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ГУ </w:t>
                  </w:r>
                  <w:proofErr w:type="gramStart"/>
                  <w:r>
                    <w:rPr>
                      <w:sz w:val="22"/>
                      <w:szCs w:val="22"/>
                    </w:rPr>
                    <w:t>ДО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«</w:t>
                  </w:r>
                  <w:proofErr w:type="gramStart"/>
                  <w:r>
                    <w:rPr>
                      <w:sz w:val="22"/>
                      <w:szCs w:val="22"/>
                    </w:rPr>
                    <w:t>Пермский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краевой центр «Муравейник»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614000, г. Пермь, 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76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тел/факс (342)212-81-05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ИНН/КПП 5904258130/590401001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1115903005118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ind w:hanging="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______________________ /Д.В.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Кольмай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</w:p>
              </w:txbxContent>
            </v:textbox>
          </v:shape>
        </w:pict>
      </w:r>
      <w:r w:rsidRPr="00027201">
        <w:pict>
          <v:shape id="_x0000_s1027" type="#_x0000_t202" style="position:absolute;margin-left:246.75pt;margin-top:12.15pt;width:259.8pt;height:176.55pt;z-index:251658240;mso-width-relative:margin;mso-height-relative:margin" stroked="f">
            <v:textbox>
              <w:txbxContent>
                <w:p w:rsidR="00027201" w:rsidRDefault="00027201" w:rsidP="00027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«Автор»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Ф.И.О. полностью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Адрес: 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Паспорт ________ № 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Кем </w:t>
                  </w:r>
                  <w:proofErr w:type="gramStart"/>
                  <w:r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Когда выдан 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Автор ___________________ /__________________/</w:t>
                  </w:r>
                </w:p>
              </w:txbxContent>
            </v:textbox>
          </v:shape>
        </w:pict>
      </w:r>
    </w:p>
    <w:sectPr w:rsidR="00027201" w:rsidRPr="00027201" w:rsidSect="000272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201"/>
    <w:rsid w:val="00027201"/>
    <w:rsid w:val="001E402D"/>
    <w:rsid w:val="00291AD9"/>
    <w:rsid w:val="00343D8C"/>
    <w:rsid w:val="0043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2320</Words>
  <Characters>13225</Characters>
  <Application>Microsoft Office Word</Application>
  <DocSecurity>0</DocSecurity>
  <Lines>110</Lines>
  <Paragraphs>31</Paragraphs>
  <ScaleCrop>false</ScaleCrop>
  <Company>Grizli777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2</cp:revision>
  <dcterms:created xsi:type="dcterms:W3CDTF">2017-10-24T08:42:00Z</dcterms:created>
  <dcterms:modified xsi:type="dcterms:W3CDTF">2017-10-24T08:44:00Z</dcterms:modified>
</cp:coreProperties>
</file>