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E71EE0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8A495F">
        <w:rPr>
          <w:rFonts w:ascii="Times New Roman" w:hAnsi="Times New Roman" w:cs="Times New Roman"/>
          <w:b/>
          <w:sz w:val="24"/>
          <w:szCs w:val="24"/>
          <w:highlight w:val="yellow"/>
        </w:rPr>
        <w:t>МИР РОБОТОВ</w:t>
      </w:r>
      <w:r w:rsidR="004E620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/>
      </w:tblPr>
      <w:tblGrid>
        <w:gridCol w:w="4568"/>
        <w:gridCol w:w="6403"/>
      </w:tblGrid>
      <w:tr w:rsidR="0061704B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8A495F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>
                  <wp:extent cx="2346960" cy="2346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1474ef3d3811f084248e338d696586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0D0F40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Эйрих Дарья Александровна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A2705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BF691E" w:rsidRPr="00C37D26" w:rsidRDefault="00BF691E" w:rsidP="008A39D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A39D7">
              <w:rPr>
                <w:rStyle w:val="11"/>
                <w:rFonts w:eastAsiaTheme="minorEastAsia"/>
                <w:bCs/>
                <w:i/>
                <w:iCs/>
                <w:color w:val="0033CC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:rsidR="00B47E45" w:rsidRPr="00B47E45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</w:t>
            </w:r>
            <w:r w:rsidR="00B4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47E45" w:rsidRPr="00B47E45" w:rsidRDefault="00872162" w:rsidP="00B47E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вторник – 10:00 -11:40</w:t>
            </w:r>
            <w:r w:rsidR="00B47E4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(2ч.)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, </w:t>
            </w:r>
          </w:p>
          <w:p w:rsidR="00C74298" w:rsidRPr="00C74298" w:rsidRDefault="00872162" w:rsidP="00B47E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четверг – 10:00 -11:40</w:t>
            </w:r>
            <w:r w:rsidR="00B47E4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(2ч.)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0D0F4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0D0F4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1-5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4D4DF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1F597B" w:rsidRPr="004D4DFB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учащиеся </w:t>
            </w:r>
            <w:r w:rsidR="00D1106C" w:rsidRPr="004D4DFB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г. Перми</w:t>
            </w:r>
            <w:r w:rsidR="004E6208" w:rsidRPr="004D4DFB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</w:t>
            </w:r>
            <w:r w:rsidR="004E6208" w:rsidRPr="004D4DFB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с</w:t>
            </w:r>
            <w:r w:rsidR="004E6208" w:rsidRPr="004D4DFB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r w:rsidR="004E6208" w:rsidRPr="004D4DFB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базовыми навыками конструирования и </w:t>
            </w:r>
            <w:r w:rsidR="004E6208" w:rsidRPr="004E6208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программирования роботов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bookmarkStart w:id="0" w:name="_GoBack"/>
            <w:bookmarkEnd w:id="0"/>
          </w:p>
          <w:p w:rsidR="00BF691E" w:rsidRPr="00F35E4C" w:rsidRDefault="001F597B" w:rsidP="00D1106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BF691E" w:rsidRDefault="00BF691E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297E7A" w:rsidRDefault="00297E7A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55" w:rsidRDefault="00BB0455" w:rsidP="007C3F5C">
      <w:pPr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BB0455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«Мир роботов</w:t>
      </w:r>
      <w:r w:rsidR="004E6208">
        <w:rPr>
          <w:rFonts w:ascii="Times New Roman" w:hAnsi="Times New Roman" w:cs="Times New Roman"/>
          <w:sz w:val="24"/>
          <w:szCs w:val="24"/>
        </w:rPr>
        <w:t xml:space="preserve"> ПРО</w:t>
      </w:r>
      <w:r w:rsidRPr="00BB0455">
        <w:rPr>
          <w:rFonts w:ascii="Times New Roman" w:hAnsi="Times New Roman" w:cs="Times New Roman"/>
          <w:sz w:val="24"/>
          <w:szCs w:val="24"/>
        </w:rPr>
        <w:t>» (далее Программа) носит техническую направленность и предназначена способствовать развитию конструкторских и инженерных навыков у младших школьников.</w:t>
      </w:r>
    </w:p>
    <w:p w:rsidR="005E4E81" w:rsidRDefault="005E4E81" w:rsidP="007C3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368">
        <w:rPr>
          <w:rFonts w:ascii="Times New Roman" w:hAnsi="Times New Roman" w:cs="Times New Roman"/>
          <w:sz w:val="24"/>
        </w:rPr>
        <w:t>Актуальность программы обусловлена возрастающим интересом детей к техническому творчеству и необходимостью развития навыков конструирования и моделирования. Новизна заключается в использовании современных образовательных технологий, таких как проектная деятельность и игровые методы.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включает в себя у</w:t>
      </w:r>
      <w:r w:rsidRPr="000A7A48">
        <w:rPr>
          <w:rFonts w:ascii="Times New Roman" w:hAnsi="Times New Roman" w:cs="Times New Roman"/>
          <w:sz w:val="24"/>
          <w:szCs w:val="24"/>
        </w:rPr>
        <w:t>глублённое изучение робототехники с элементами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изучение</w:t>
      </w:r>
      <w:r w:rsidRPr="000A7A48">
        <w:rPr>
          <w:rFonts w:ascii="Times New Roman" w:hAnsi="Times New Roman" w:cs="Times New Roman"/>
          <w:sz w:val="24"/>
          <w:szCs w:val="24"/>
        </w:rPr>
        <w:t xml:space="preserve"> основ механики, программирования и инженерии.</w:t>
      </w:r>
    </w:p>
    <w:p w:rsidR="005E4E81" w:rsidRPr="000A7A48" w:rsidRDefault="005E4E81" w:rsidP="007C3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368">
        <w:rPr>
          <w:rFonts w:ascii="Times New Roman" w:hAnsi="Times New Roman" w:cs="Times New Roman"/>
          <w:sz w:val="24"/>
          <w:szCs w:val="24"/>
        </w:rPr>
        <w:t>Педагогическая целесообразность позволяет решить проблему заня</w:t>
      </w:r>
      <w:r>
        <w:rPr>
          <w:rFonts w:ascii="Times New Roman" w:hAnsi="Times New Roman" w:cs="Times New Roman"/>
          <w:sz w:val="24"/>
          <w:szCs w:val="24"/>
        </w:rPr>
        <w:t xml:space="preserve">тости свободного времени детей, </w:t>
      </w:r>
      <w:r w:rsidRPr="00841368">
        <w:rPr>
          <w:rFonts w:ascii="Times New Roman" w:hAnsi="Times New Roman" w:cs="Times New Roman"/>
          <w:sz w:val="24"/>
          <w:szCs w:val="24"/>
        </w:rPr>
        <w:t xml:space="preserve">овладению навыками технического конструирования, пробуждение интереса детей к новой деятельности в области </w:t>
      </w:r>
      <w:r>
        <w:rPr>
          <w:rFonts w:ascii="Times New Roman" w:hAnsi="Times New Roman" w:cs="Times New Roman"/>
          <w:sz w:val="24"/>
          <w:szCs w:val="24"/>
        </w:rPr>
        <w:t>конструирования и робототехники</w:t>
      </w:r>
    </w:p>
    <w:p w:rsidR="00BB0455" w:rsidRPr="00BB0455" w:rsidRDefault="00BB0455" w:rsidP="007C3F5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B0455">
        <w:rPr>
          <w:rFonts w:ascii="Times New Roman" w:hAnsi="Times New Roman" w:cs="Times New Roman"/>
          <w:i/>
          <w:sz w:val="24"/>
          <w:szCs w:val="24"/>
        </w:rPr>
        <w:t>Цель</w:t>
      </w:r>
      <w:r w:rsidRPr="00BB0455">
        <w:rPr>
          <w:rFonts w:ascii="Times New Roman" w:hAnsi="Times New Roman" w:cs="Times New Roman"/>
          <w:sz w:val="24"/>
          <w:szCs w:val="24"/>
        </w:rPr>
        <w:t xml:space="preserve"> </w:t>
      </w:r>
      <w:r w:rsidRPr="00BB0455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BB0455">
        <w:rPr>
          <w:rFonts w:ascii="Times New Roman" w:hAnsi="Times New Roman" w:cs="Times New Roman"/>
          <w:sz w:val="24"/>
          <w:szCs w:val="24"/>
        </w:rPr>
        <w:t xml:space="preserve"> – </w:t>
      </w:r>
      <w:r w:rsidRPr="00BB045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творческих и технических способностей детей через конструирование.</w:t>
      </w:r>
    </w:p>
    <w:p w:rsidR="00B02763" w:rsidRPr="00B13037" w:rsidRDefault="00B02763" w:rsidP="007C3F5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037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:rsidR="00B02763" w:rsidRPr="00B13037" w:rsidRDefault="00B02763" w:rsidP="00B13037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</w:pPr>
      <w:r w:rsidRPr="00B13037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>1. Предметные задачи:</w:t>
      </w:r>
    </w:p>
    <w:p w:rsidR="00B02763" w:rsidRPr="00961D2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Улучшить навыки конструирования моделей;</w:t>
      </w:r>
    </w:p>
    <w:p w:rsidR="00B02763" w:rsidRPr="00961D2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Улучшить</w:t>
      </w:r>
      <w:r w:rsidRPr="00961D27">
        <w:rPr>
          <w:rFonts w:ascii="Times New Roman" w:hAnsi="Times New Roman" w:cs="Times New Roman"/>
          <w:sz w:val="24"/>
          <w:szCs w:val="24"/>
        </w:rPr>
        <w:t xml:space="preserve"> навыки создания функциональных конст</w:t>
      </w:r>
      <w:r>
        <w:rPr>
          <w:rFonts w:ascii="Times New Roman" w:hAnsi="Times New Roman" w:cs="Times New Roman"/>
          <w:sz w:val="24"/>
          <w:szCs w:val="24"/>
        </w:rPr>
        <w:t>рукций;</w:t>
      </w:r>
    </w:p>
    <w:p w:rsidR="00B02763" w:rsidRPr="00961D2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Научиться самостоятельно программировать</w:t>
      </w:r>
    </w:p>
    <w:p w:rsidR="00B02763" w:rsidRPr="00B1303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3037">
        <w:rPr>
          <w:rFonts w:ascii="Times New Roman" w:hAnsi="Times New Roman" w:cs="Times New Roman"/>
          <w:i/>
          <w:iCs/>
          <w:sz w:val="24"/>
          <w:szCs w:val="24"/>
          <w:u w:val="single"/>
        </w:rPr>
        <w:t>2. Личностные задачи</w:t>
      </w:r>
    </w:p>
    <w:p w:rsidR="00B02763" w:rsidRPr="00961D2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Развитие личностных качеств;</w:t>
      </w:r>
    </w:p>
    <w:p w:rsidR="00B02763" w:rsidRPr="00961D2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 Воспитание социальных навыков.</w:t>
      </w:r>
    </w:p>
    <w:p w:rsidR="00B02763" w:rsidRPr="00B1303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3037">
        <w:rPr>
          <w:rFonts w:ascii="Times New Roman" w:hAnsi="Times New Roman" w:cs="Times New Roman"/>
          <w:i/>
          <w:iCs/>
          <w:sz w:val="24"/>
          <w:szCs w:val="24"/>
          <w:u w:val="single"/>
        </w:rPr>
        <w:t>3. Метапредметные задачи</w:t>
      </w:r>
    </w:p>
    <w:p w:rsidR="00B02763" w:rsidRPr="00961D2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>3.1. Раз</w:t>
      </w:r>
      <w:r>
        <w:rPr>
          <w:rFonts w:ascii="Times New Roman" w:hAnsi="Times New Roman" w:cs="Times New Roman"/>
          <w:sz w:val="24"/>
          <w:szCs w:val="24"/>
        </w:rPr>
        <w:t>витие универсальных компетенций;</w:t>
      </w:r>
    </w:p>
    <w:p w:rsidR="00B02763" w:rsidRPr="00961D27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>3.2.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деятельности;</w:t>
      </w:r>
    </w:p>
    <w:p w:rsidR="00B02763" w:rsidRDefault="00B02763" w:rsidP="00B130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1D27">
        <w:rPr>
          <w:rFonts w:ascii="Times New Roman" w:hAnsi="Times New Roman" w:cs="Times New Roman"/>
          <w:sz w:val="24"/>
          <w:szCs w:val="24"/>
        </w:rPr>
        <w:t>3.3. Совершенст</w:t>
      </w:r>
      <w:r>
        <w:rPr>
          <w:rFonts w:ascii="Times New Roman" w:hAnsi="Times New Roman" w:cs="Times New Roman"/>
          <w:sz w:val="24"/>
          <w:szCs w:val="24"/>
        </w:rPr>
        <w:t>вование коммуникативных навыков.</w:t>
      </w:r>
    </w:p>
    <w:p w:rsidR="007C3F5C" w:rsidRPr="00B13037" w:rsidRDefault="007C3F5C" w:rsidP="007C3F5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037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</w:t>
      </w:r>
    </w:p>
    <w:p w:rsidR="007C3F5C" w:rsidRPr="00B13037" w:rsidRDefault="007C3F5C" w:rsidP="007C3F5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  <w:r w:rsidRPr="00B1303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  <w:t>Личностные результаты: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Усидчивость и аккуратност</w:t>
      </w:r>
      <w:r>
        <w:rPr>
          <w:rFonts w:ascii="Times New Roman" w:hAnsi="Times New Roman" w:cs="Times New Roman"/>
          <w:sz w:val="24"/>
          <w:szCs w:val="24"/>
        </w:rPr>
        <w:t>ь при работе с мелкими деталями;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Ответственность за сохран</w:t>
      </w:r>
      <w:r>
        <w:rPr>
          <w:rFonts w:ascii="Times New Roman" w:hAnsi="Times New Roman" w:cs="Times New Roman"/>
          <w:sz w:val="24"/>
          <w:szCs w:val="24"/>
        </w:rPr>
        <w:t>ность материалов и инструментов;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Самосто</w:t>
      </w:r>
      <w:r>
        <w:rPr>
          <w:rFonts w:ascii="Times New Roman" w:hAnsi="Times New Roman" w:cs="Times New Roman"/>
          <w:sz w:val="24"/>
          <w:szCs w:val="24"/>
        </w:rPr>
        <w:t>ятельность в выполнении заданий;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lastRenderedPageBreak/>
        <w:t>Уважение к идеям и резу</w:t>
      </w:r>
      <w:r>
        <w:rPr>
          <w:rFonts w:ascii="Times New Roman" w:hAnsi="Times New Roman" w:cs="Times New Roman"/>
          <w:sz w:val="24"/>
          <w:szCs w:val="24"/>
        </w:rPr>
        <w:t>льтатам труда других участников;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 xml:space="preserve">Готовность помогать </w:t>
      </w:r>
      <w:r>
        <w:rPr>
          <w:rFonts w:ascii="Times New Roman" w:hAnsi="Times New Roman" w:cs="Times New Roman"/>
          <w:sz w:val="24"/>
          <w:szCs w:val="24"/>
        </w:rPr>
        <w:t>товарищам в совместных проектах;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Культура пре</w:t>
      </w:r>
      <w:r>
        <w:rPr>
          <w:rFonts w:ascii="Times New Roman" w:hAnsi="Times New Roman" w:cs="Times New Roman"/>
          <w:sz w:val="24"/>
          <w:szCs w:val="24"/>
        </w:rPr>
        <w:t>зентации своих работ.</w:t>
      </w:r>
    </w:p>
    <w:p w:rsidR="007C3F5C" w:rsidRPr="00B13037" w:rsidRDefault="007C3F5C" w:rsidP="00DB39A1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  <w:r w:rsidRPr="00B1303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  <w:t>Метапредметные результаты: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Анализ схем, поиск</w:t>
      </w:r>
      <w:r>
        <w:rPr>
          <w:rFonts w:ascii="Times New Roman" w:hAnsi="Times New Roman" w:cs="Times New Roman"/>
          <w:sz w:val="24"/>
          <w:szCs w:val="24"/>
        </w:rPr>
        <w:t xml:space="preserve"> оптимальных решений при сборке;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Понимание причинно-следственных связей (например, как изменение конструкции влияет на её устойч</w:t>
      </w:r>
      <w:r>
        <w:rPr>
          <w:rFonts w:ascii="Times New Roman" w:hAnsi="Times New Roman" w:cs="Times New Roman"/>
          <w:sz w:val="24"/>
          <w:szCs w:val="24"/>
        </w:rPr>
        <w:t>ивость);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зуализация моделей до их сборки;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пропорций и масштаба;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Планирование этапов</w:t>
      </w:r>
      <w:r>
        <w:rPr>
          <w:rFonts w:ascii="Times New Roman" w:hAnsi="Times New Roman" w:cs="Times New Roman"/>
          <w:sz w:val="24"/>
          <w:szCs w:val="24"/>
        </w:rPr>
        <w:t xml:space="preserve"> работы (от идеи до реализации);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Корректировка проекта на основе тестирования модели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Публичная защита результа</w:t>
      </w:r>
      <w:r>
        <w:rPr>
          <w:rFonts w:ascii="Times New Roman" w:hAnsi="Times New Roman" w:cs="Times New Roman"/>
          <w:sz w:val="24"/>
          <w:szCs w:val="24"/>
        </w:rPr>
        <w:t>тов (презентация перед группой);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Умение работать в команде (распределение роле</w:t>
      </w:r>
      <w:r>
        <w:rPr>
          <w:rFonts w:ascii="Times New Roman" w:hAnsi="Times New Roman" w:cs="Times New Roman"/>
          <w:sz w:val="24"/>
          <w:szCs w:val="24"/>
        </w:rPr>
        <w:t>й, совместное принятие решений);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Аргумент</w:t>
      </w:r>
      <w:r>
        <w:rPr>
          <w:rFonts w:ascii="Times New Roman" w:hAnsi="Times New Roman" w:cs="Times New Roman"/>
          <w:sz w:val="24"/>
          <w:szCs w:val="24"/>
        </w:rPr>
        <w:t>ированное объяснение своих идей;</w:t>
      </w:r>
    </w:p>
    <w:p w:rsidR="007C3F5C" w:rsidRPr="004D21D2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4D21D2">
        <w:rPr>
          <w:rFonts w:ascii="Times New Roman" w:hAnsi="Times New Roman" w:cs="Times New Roman"/>
          <w:sz w:val="24"/>
          <w:szCs w:val="24"/>
        </w:rPr>
        <w:t>Конструктивная обратная связь</w:t>
      </w:r>
      <w:r>
        <w:rPr>
          <w:rFonts w:ascii="Times New Roman" w:hAnsi="Times New Roman" w:cs="Times New Roman"/>
          <w:sz w:val="24"/>
          <w:szCs w:val="24"/>
        </w:rPr>
        <w:t xml:space="preserve"> при оценке работ других.</w:t>
      </w:r>
    </w:p>
    <w:p w:rsidR="007C3F5C" w:rsidRPr="00B13037" w:rsidRDefault="007C3F5C" w:rsidP="00DB39A1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  <w:r w:rsidRPr="00B1303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  <w:t>Предметные результаты:</w:t>
      </w:r>
    </w:p>
    <w:p w:rsidR="007C3F5C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1231">
        <w:rPr>
          <w:rFonts w:ascii="Times New Roman" w:hAnsi="Times New Roman" w:cs="Times New Roman"/>
          <w:sz w:val="24"/>
          <w:szCs w:val="24"/>
        </w:rPr>
        <w:t xml:space="preserve">Сборка </w:t>
      </w:r>
      <w:r>
        <w:rPr>
          <w:rFonts w:ascii="Times New Roman" w:hAnsi="Times New Roman" w:cs="Times New Roman"/>
          <w:sz w:val="24"/>
          <w:szCs w:val="24"/>
        </w:rPr>
        <w:t>моделей по схемам и инструкциям;</w:t>
      </w:r>
    </w:p>
    <w:p w:rsidR="007C3F5C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1231">
        <w:rPr>
          <w:rFonts w:ascii="Times New Roman" w:hAnsi="Times New Roman" w:cs="Times New Roman"/>
          <w:sz w:val="24"/>
          <w:szCs w:val="24"/>
        </w:rPr>
        <w:t>Использование различных типов сое</w:t>
      </w:r>
      <w:r>
        <w:rPr>
          <w:rFonts w:ascii="Times New Roman" w:hAnsi="Times New Roman" w:cs="Times New Roman"/>
          <w:sz w:val="24"/>
          <w:szCs w:val="24"/>
        </w:rPr>
        <w:t>динений (шарниры, защёлки, оси);</w:t>
      </w:r>
    </w:p>
    <w:p w:rsidR="007C3F5C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1231">
        <w:rPr>
          <w:rFonts w:ascii="Times New Roman" w:hAnsi="Times New Roman" w:cs="Times New Roman"/>
          <w:sz w:val="24"/>
          <w:szCs w:val="24"/>
        </w:rPr>
        <w:t>Применение базовых механизмов (рычаг</w:t>
      </w:r>
      <w:r>
        <w:rPr>
          <w:rFonts w:ascii="Times New Roman" w:hAnsi="Times New Roman" w:cs="Times New Roman"/>
          <w:sz w:val="24"/>
          <w:szCs w:val="24"/>
        </w:rPr>
        <w:t>и, шестерни, ременные передачи);</w:t>
      </w:r>
    </w:p>
    <w:p w:rsidR="007C3F5C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1231">
        <w:rPr>
          <w:rFonts w:ascii="Times New Roman" w:hAnsi="Times New Roman" w:cs="Times New Roman"/>
          <w:sz w:val="24"/>
          <w:szCs w:val="24"/>
        </w:rPr>
        <w:t>Построен</w:t>
      </w:r>
      <w:r>
        <w:rPr>
          <w:rFonts w:ascii="Times New Roman" w:hAnsi="Times New Roman" w:cs="Times New Roman"/>
          <w:sz w:val="24"/>
          <w:szCs w:val="24"/>
        </w:rPr>
        <w:t>ие устойчивых и прочных моделей;</w:t>
      </w:r>
    </w:p>
    <w:p w:rsidR="007C3F5C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1231">
        <w:rPr>
          <w:rFonts w:ascii="Times New Roman" w:hAnsi="Times New Roman" w:cs="Times New Roman"/>
          <w:sz w:val="24"/>
          <w:szCs w:val="24"/>
        </w:rPr>
        <w:t>Моделирование объектов с учётом их назначения</w:t>
      </w:r>
      <w:r>
        <w:rPr>
          <w:rFonts w:ascii="Times New Roman" w:hAnsi="Times New Roman" w:cs="Times New Roman"/>
          <w:sz w:val="24"/>
          <w:szCs w:val="24"/>
        </w:rPr>
        <w:t xml:space="preserve"> (транспорт, здания, механизмы);</w:t>
      </w:r>
    </w:p>
    <w:p w:rsidR="007C3F5C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F1231">
        <w:rPr>
          <w:rFonts w:ascii="Times New Roman" w:hAnsi="Times New Roman" w:cs="Times New Roman"/>
          <w:sz w:val="24"/>
          <w:szCs w:val="24"/>
        </w:rPr>
        <w:t>Использование датчиков и моторо</w:t>
      </w:r>
      <w:r>
        <w:rPr>
          <w:rFonts w:ascii="Times New Roman" w:hAnsi="Times New Roman" w:cs="Times New Roman"/>
          <w:sz w:val="24"/>
          <w:szCs w:val="24"/>
        </w:rPr>
        <w:t xml:space="preserve">в (для программируемых наборов </w:t>
      </w:r>
      <w:r w:rsidRPr="00FF1231">
        <w:rPr>
          <w:rFonts w:ascii="Times New Roman" w:hAnsi="Times New Roman" w:cs="Times New Roman"/>
          <w:sz w:val="24"/>
          <w:szCs w:val="24"/>
        </w:rPr>
        <w:t>LEGO WeDo</w:t>
      </w:r>
      <w:r>
        <w:rPr>
          <w:rFonts w:ascii="Times New Roman" w:hAnsi="Times New Roman" w:cs="Times New Roman"/>
          <w:sz w:val="24"/>
          <w:szCs w:val="24"/>
        </w:rPr>
        <w:t xml:space="preserve"> 2.0</w:t>
      </w:r>
      <w:r w:rsidRPr="00FF1231">
        <w:rPr>
          <w:rFonts w:ascii="Times New Roman" w:hAnsi="Times New Roman" w:cs="Times New Roman"/>
          <w:sz w:val="24"/>
          <w:szCs w:val="24"/>
        </w:rPr>
        <w:t>)</w:t>
      </w:r>
    </w:p>
    <w:p w:rsidR="007C3F5C" w:rsidRDefault="007C3F5C" w:rsidP="00DB39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составление программ</w:t>
      </w:r>
      <w:r w:rsidRPr="00FF1231">
        <w:rPr>
          <w:rFonts w:ascii="Times New Roman" w:hAnsi="Times New Roman" w:cs="Times New Roman"/>
          <w:sz w:val="24"/>
          <w:szCs w:val="24"/>
        </w:rPr>
        <w:t>.</w:t>
      </w:r>
    </w:p>
    <w:p w:rsidR="00925C25" w:rsidRDefault="00925C25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F5C" w:rsidRDefault="007C3F5C" w:rsidP="007C3F5C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6E45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7C3F5C" w:rsidRPr="008F59E7" w:rsidRDefault="007C3F5C" w:rsidP="007C3F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5000" w:type="pct"/>
        <w:tblLook w:val="06A0"/>
      </w:tblPr>
      <w:tblGrid>
        <w:gridCol w:w="6233"/>
        <w:gridCol w:w="677"/>
        <w:gridCol w:w="677"/>
        <w:gridCol w:w="711"/>
        <w:gridCol w:w="2804"/>
      </w:tblGrid>
      <w:tr w:rsidR="007C3F5C" w:rsidRPr="003F70A9" w:rsidTr="006A6A04">
        <w:tc>
          <w:tcPr>
            <w:tcW w:w="280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F5C" w:rsidRPr="003F70A9" w:rsidRDefault="007C3F5C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C3F5C" w:rsidRPr="003F70A9" w:rsidTr="006A6A04">
        <w:trPr>
          <w:cantSplit/>
          <w:trHeight w:val="1108"/>
        </w:trPr>
        <w:tc>
          <w:tcPr>
            <w:tcW w:w="2807" w:type="pct"/>
            <w:vMerge/>
            <w:tcBorders>
              <w:right w:val="single" w:sz="4" w:space="0" w:color="auto"/>
            </w:tcBorders>
          </w:tcPr>
          <w:p w:rsidR="007C3F5C" w:rsidRPr="003F70A9" w:rsidRDefault="007C3F5C" w:rsidP="006A6A04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7C3F5C" w:rsidRPr="003F70A9" w:rsidRDefault="007C3F5C" w:rsidP="006A6A04">
            <w:pPr>
              <w:ind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textDirection w:val="btLr"/>
            <w:vAlign w:val="center"/>
          </w:tcPr>
          <w:p w:rsidR="007C3F5C" w:rsidRPr="003F70A9" w:rsidRDefault="007C3F5C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textDirection w:val="btLr"/>
            <w:vAlign w:val="center"/>
          </w:tcPr>
          <w:p w:rsidR="007C3F5C" w:rsidRPr="003F70A9" w:rsidRDefault="007C3F5C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63" w:type="pct"/>
            <w:vMerge/>
            <w:tcBorders>
              <w:left w:val="single" w:sz="4" w:space="0" w:color="auto"/>
            </w:tcBorders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F5C" w:rsidRPr="003F70A9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Введение в образовательную программу</w:t>
            </w:r>
          </w:p>
        </w:tc>
        <w:tc>
          <w:tcPr>
            <w:tcW w:w="305" w:type="pct"/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Pr="003F70A9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диагностическая игра, инструктаж по ТБ</w:t>
            </w:r>
          </w:p>
        </w:tc>
      </w:tr>
      <w:tr w:rsidR="007C3F5C" w:rsidRPr="003F70A9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Первые шаги</w:t>
            </w:r>
          </w:p>
        </w:tc>
        <w:tc>
          <w:tcPr>
            <w:tcW w:w="305" w:type="pct"/>
            <w:vAlign w:val="center"/>
          </w:tcPr>
          <w:p w:rsidR="007C3F5C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:rsidR="007C3F5C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Default="007C3F5C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выполненных работ</w:t>
            </w:r>
          </w:p>
        </w:tc>
      </w:tr>
      <w:tr w:rsidR="007C3F5C" w:rsidRPr="00724784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Основные механизмы и передачи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Pr="00724784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выполненных работ</w:t>
            </w:r>
          </w:p>
        </w:tc>
      </w:tr>
      <w:tr w:rsidR="007C3F5C" w:rsidRPr="00724784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Проекты с пошаговыми инструкциями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выполненных работ</w:t>
            </w:r>
          </w:p>
        </w:tc>
      </w:tr>
      <w:tr w:rsidR="007C3F5C" w:rsidRPr="00724784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Проекты с открытым решением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выполненных работ</w:t>
            </w:r>
          </w:p>
        </w:tc>
      </w:tr>
      <w:tr w:rsidR="007C3F5C" w:rsidRPr="00724784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Тематическое моделирование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5" w:type="pct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выполненных работ</w:t>
            </w:r>
          </w:p>
        </w:tc>
      </w:tr>
      <w:tr w:rsidR="007C3F5C" w:rsidRPr="00724784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Проектирование по собственному замыслу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" w:type="pct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выполненных работ</w:t>
            </w:r>
          </w:p>
        </w:tc>
      </w:tr>
      <w:tr w:rsidR="007C3F5C" w:rsidRPr="00724784" w:rsidTr="006A6A04">
        <w:trPr>
          <w:trHeight w:val="70"/>
        </w:trPr>
        <w:tc>
          <w:tcPr>
            <w:tcW w:w="2807" w:type="pct"/>
            <w:vAlign w:val="center"/>
          </w:tcPr>
          <w:p w:rsidR="007C3F5C" w:rsidRPr="00480228" w:rsidRDefault="007C3F5C" w:rsidP="007C3F5C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Pr="00081CB2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CB2">
              <w:rPr>
                <w:rFonts w:ascii="Times New Roman" w:hAnsi="Times New Roman" w:cs="Times New Roman"/>
                <w:sz w:val="20"/>
                <w:szCs w:val="20"/>
              </w:rPr>
              <w:t>Анализ, обсуждение и обобщение результатов Итоговое тестирование</w:t>
            </w:r>
          </w:p>
        </w:tc>
      </w:tr>
      <w:tr w:rsidR="007C3F5C" w:rsidRPr="00724784" w:rsidTr="006A6A04">
        <w:trPr>
          <w:trHeight w:val="70"/>
        </w:trPr>
        <w:tc>
          <w:tcPr>
            <w:tcW w:w="2807" w:type="pct"/>
            <w:vAlign w:val="center"/>
          </w:tcPr>
          <w:p w:rsidR="007C3F5C" w:rsidRPr="00724784" w:rsidRDefault="007C3F5C" w:rsidP="006A6A0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4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305" w:type="pct"/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C3F5C" w:rsidRPr="00724784" w:rsidRDefault="007C3F5C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7C3F5C" w:rsidRDefault="007C3F5C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3F5C" w:rsidRDefault="007C3F5C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3F5C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D3C3D"/>
    <w:multiLevelType w:val="hybridMultilevel"/>
    <w:tmpl w:val="6F00F310"/>
    <w:lvl w:ilvl="0" w:tplc="577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F267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CE7C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CEEA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E8DA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FAE7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7298B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6A4F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6C38E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0CEE3F19"/>
    <w:multiLevelType w:val="hybridMultilevel"/>
    <w:tmpl w:val="5E9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B01E2A"/>
    <w:multiLevelType w:val="hybridMultilevel"/>
    <w:tmpl w:val="DC483FF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2FDF3E3C"/>
    <w:multiLevelType w:val="hybridMultilevel"/>
    <w:tmpl w:val="6CF45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E943A3"/>
    <w:multiLevelType w:val="hybridMultilevel"/>
    <w:tmpl w:val="1CF415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8E25E8"/>
    <w:multiLevelType w:val="hybridMultilevel"/>
    <w:tmpl w:val="01D47274"/>
    <w:lvl w:ilvl="0" w:tplc="5DA863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0EC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5696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D892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725A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EA39B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5E3F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9412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4EBF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76BF5"/>
    <w:multiLevelType w:val="hybridMultilevel"/>
    <w:tmpl w:val="049C371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77136B"/>
    <w:multiLevelType w:val="hybridMultilevel"/>
    <w:tmpl w:val="D130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0"/>
  </w:num>
  <w:num w:numId="5">
    <w:abstractNumId w:val="18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22"/>
  </w:num>
  <w:num w:numId="11">
    <w:abstractNumId w:val="2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7"/>
  </w:num>
  <w:num w:numId="17">
    <w:abstractNumId w:val="1"/>
  </w:num>
  <w:num w:numId="18">
    <w:abstractNumId w:val="15"/>
  </w:num>
  <w:num w:numId="19">
    <w:abstractNumId w:val="13"/>
  </w:num>
  <w:num w:numId="20">
    <w:abstractNumId w:val="2"/>
  </w:num>
  <w:num w:numId="21">
    <w:abstractNumId w:val="12"/>
  </w:num>
  <w:num w:numId="22">
    <w:abstractNumId w:val="10"/>
  </w:num>
  <w:num w:numId="23">
    <w:abstractNumId w:val="11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015"/>
    <w:rsid w:val="00007762"/>
    <w:rsid w:val="00025501"/>
    <w:rsid w:val="000756ED"/>
    <w:rsid w:val="000D0F40"/>
    <w:rsid w:val="000D24CC"/>
    <w:rsid w:val="00185177"/>
    <w:rsid w:val="00193DA5"/>
    <w:rsid w:val="001A5D48"/>
    <w:rsid w:val="001F597B"/>
    <w:rsid w:val="002334FF"/>
    <w:rsid w:val="00237661"/>
    <w:rsid w:val="00296E82"/>
    <w:rsid w:val="00297E7A"/>
    <w:rsid w:val="002D0E8D"/>
    <w:rsid w:val="003B07FE"/>
    <w:rsid w:val="003C6015"/>
    <w:rsid w:val="00411046"/>
    <w:rsid w:val="004A5054"/>
    <w:rsid w:val="004D15F4"/>
    <w:rsid w:val="004D4DFB"/>
    <w:rsid w:val="004E6208"/>
    <w:rsid w:val="004F2AC0"/>
    <w:rsid w:val="00523977"/>
    <w:rsid w:val="005E4E81"/>
    <w:rsid w:val="00613C26"/>
    <w:rsid w:val="0061704B"/>
    <w:rsid w:val="0073143C"/>
    <w:rsid w:val="00734B99"/>
    <w:rsid w:val="007507DA"/>
    <w:rsid w:val="00771182"/>
    <w:rsid w:val="0079675F"/>
    <w:rsid w:val="007B7850"/>
    <w:rsid w:val="007C3F5C"/>
    <w:rsid w:val="007D42AD"/>
    <w:rsid w:val="00827792"/>
    <w:rsid w:val="00833AC7"/>
    <w:rsid w:val="00855791"/>
    <w:rsid w:val="00860F2A"/>
    <w:rsid w:val="00872162"/>
    <w:rsid w:val="008815C7"/>
    <w:rsid w:val="008A39D7"/>
    <w:rsid w:val="008A495F"/>
    <w:rsid w:val="009042FC"/>
    <w:rsid w:val="00925C25"/>
    <w:rsid w:val="009830DC"/>
    <w:rsid w:val="00985ED4"/>
    <w:rsid w:val="00A27058"/>
    <w:rsid w:val="00A6721F"/>
    <w:rsid w:val="00A71928"/>
    <w:rsid w:val="00A76262"/>
    <w:rsid w:val="00AC0BB7"/>
    <w:rsid w:val="00AD008C"/>
    <w:rsid w:val="00B02763"/>
    <w:rsid w:val="00B13037"/>
    <w:rsid w:val="00B133DF"/>
    <w:rsid w:val="00B47E45"/>
    <w:rsid w:val="00B93456"/>
    <w:rsid w:val="00BB0455"/>
    <w:rsid w:val="00BF691E"/>
    <w:rsid w:val="00C00665"/>
    <w:rsid w:val="00C23803"/>
    <w:rsid w:val="00C671C4"/>
    <w:rsid w:val="00C74298"/>
    <w:rsid w:val="00CE45F5"/>
    <w:rsid w:val="00CE50CA"/>
    <w:rsid w:val="00CF2353"/>
    <w:rsid w:val="00D03507"/>
    <w:rsid w:val="00D052D6"/>
    <w:rsid w:val="00D1106C"/>
    <w:rsid w:val="00DB39A1"/>
    <w:rsid w:val="00E272F8"/>
    <w:rsid w:val="00E62B18"/>
    <w:rsid w:val="00E639C9"/>
    <w:rsid w:val="00E71EE0"/>
    <w:rsid w:val="00E83207"/>
    <w:rsid w:val="00EF24E5"/>
    <w:rsid w:val="00F11AA3"/>
    <w:rsid w:val="00F215FC"/>
    <w:rsid w:val="00F35E4C"/>
    <w:rsid w:val="00F51AB7"/>
    <w:rsid w:val="00F71CF5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AD"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Мельников</cp:lastModifiedBy>
  <cp:revision>47</cp:revision>
  <dcterms:created xsi:type="dcterms:W3CDTF">2024-05-24T07:26:00Z</dcterms:created>
  <dcterms:modified xsi:type="dcterms:W3CDTF">2025-06-24T08:53:00Z</dcterms:modified>
</cp:coreProperties>
</file>